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BF" w:rsidRPr="009A08BF" w:rsidRDefault="001534B4" w:rsidP="009A08B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6.1pt;margin-top:8.25pt;width:48.3pt;height:64.7pt;z-index:1;mso-wrap-distance-left:9.05pt;mso-wrap-distance-right:9.05pt" filled="t">
            <v:fill color2="black"/>
            <v:imagedata r:id="rId7" o:title=""/>
            <w10:wrap type="topAndBottom"/>
          </v:shape>
        </w:pict>
      </w:r>
    </w:p>
    <w:p w:rsidR="009A08BF" w:rsidRPr="003330E7" w:rsidRDefault="009A08BF" w:rsidP="009A08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A08BF" w:rsidRPr="003330E7" w:rsidRDefault="009A08BF" w:rsidP="009A08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9A08BF" w:rsidRPr="003330E7" w:rsidRDefault="009A08BF" w:rsidP="009A08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9A08BF" w:rsidRPr="003330E7" w:rsidRDefault="009A08BF" w:rsidP="009A08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A08BF" w:rsidRPr="003330E7" w:rsidRDefault="009A08BF" w:rsidP="009A08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5-го созыва</w:t>
      </w:r>
    </w:p>
    <w:p w:rsidR="009A08BF" w:rsidRPr="003330E7" w:rsidRDefault="009A08BF" w:rsidP="009A08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пятьдесят вторая</w:t>
      </w:r>
      <w:r w:rsidRPr="003330E7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9A08BF" w:rsidRDefault="009A08BF" w:rsidP="009A08B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08BF" w:rsidRPr="003330E7" w:rsidRDefault="009A08BF" w:rsidP="009A08B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08BF" w:rsidRDefault="009A08BF" w:rsidP="009E47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 xml:space="preserve">Решение №  </w:t>
      </w:r>
      <w:r w:rsidR="0087318C">
        <w:rPr>
          <w:rFonts w:ascii="Times New Roman" w:hAnsi="Times New Roman"/>
          <w:b/>
          <w:sz w:val="28"/>
          <w:szCs w:val="28"/>
        </w:rPr>
        <w:t>421</w:t>
      </w:r>
    </w:p>
    <w:p w:rsidR="009E4782" w:rsidRPr="003330E7" w:rsidRDefault="009E4782" w:rsidP="009E47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59E" w:rsidRPr="0098259E" w:rsidRDefault="0098259E" w:rsidP="0098259E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59E">
        <w:rPr>
          <w:rFonts w:ascii="Times New Roman" w:hAnsi="Times New Roman" w:cs="Times New Roman"/>
          <w:b/>
          <w:sz w:val="28"/>
          <w:szCs w:val="28"/>
          <w:u w:val="single"/>
        </w:rPr>
        <w:t>от  21.04.2017</w:t>
      </w:r>
    </w:p>
    <w:p w:rsidR="009A08BF" w:rsidRPr="0098259E" w:rsidRDefault="009A08BF" w:rsidP="0098259E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59E">
        <w:rPr>
          <w:rFonts w:ascii="Times New Roman" w:hAnsi="Times New Roman" w:cs="Times New Roman"/>
          <w:sz w:val="24"/>
          <w:szCs w:val="24"/>
        </w:rPr>
        <w:t>принято Прокопьевским городским</w:t>
      </w:r>
    </w:p>
    <w:p w:rsidR="009A08BF" w:rsidRPr="0098259E" w:rsidRDefault="009A08BF" w:rsidP="0098259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59E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9A08BF" w:rsidRPr="003A3E7E" w:rsidRDefault="009A08BF" w:rsidP="009A08B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Pr="003A3E7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04. </w:t>
      </w:r>
      <w:r w:rsidRPr="003A3E7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9A08BF" w:rsidRPr="003345BE" w:rsidRDefault="009A08BF" w:rsidP="009A08B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5BE" w:rsidRPr="003345BE" w:rsidRDefault="003345BE" w:rsidP="009A08BF">
      <w:pPr>
        <w:tabs>
          <w:tab w:val="left" w:pos="6096"/>
        </w:tabs>
        <w:suppressAutoHyphens/>
        <w:spacing w:after="0" w:line="240" w:lineRule="auto"/>
        <w:ind w:left="142" w:right="4229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Об утверждении отчета о фактическом исполнении плана мероприятий и показателей оценки эффективности реализации комплексной Программы социально-экономического развития муниципального образования «Прокопьевский городской округ» за 2016 год</w:t>
      </w:r>
    </w:p>
    <w:p w:rsidR="003345BE" w:rsidRPr="003345BE" w:rsidRDefault="003345BE" w:rsidP="009A08BF">
      <w:pPr>
        <w:suppressAutoHyphens/>
        <w:spacing w:after="0" w:line="240" w:lineRule="auto"/>
        <w:ind w:right="3662"/>
        <w:jc w:val="both"/>
        <w:rPr>
          <w:rFonts w:ascii="Times New Roman" w:hAnsi="Times New Roman" w:cs="Times New Roman"/>
          <w:sz w:val="28"/>
          <w:szCs w:val="28"/>
        </w:rPr>
      </w:pPr>
    </w:p>
    <w:p w:rsidR="003345BE" w:rsidRPr="003345BE" w:rsidRDefault="003345BE" w:rsidP="003345BE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5BE" w:rsidRPr="00A52A09" w:rsidRDefault="003345BE" w:rsidP="009A08BF">
      <w:pPr>
        <w:tabs>
          <w:tab w:val="left" w:pos="284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Во исполнение решения Прокопьевского городского Совета народных депут</w:t>
      </w:r>
      <w:r w:rsidR="009A08BF">
        <w:rPr>
          <w:rFonts w:ascii="Times New Roman" w:hAnsi="Times New Roman" w:cs="Times New Roman"/>
          <w:sz w:val="28"/>
          <w:szCs w:val="28"/>
        </w:rPr>
        <w:t xml:space="preserve">атов от 22.12.2010 № 537 </w:t>
      </w:r>
      <w:r w:rsidRPr="003345BE">
        <w:rPr>
          <w:rFonts w:ascii="Times New Roman" w:hAnsi="Times New Roman" w:cs="Times New Roman"/>
          <w:sz w:val="28"/>
          <w:szCs w:val="28"/>
        </w:rPr>
        <w:t>«Об утверждении комплексной Программы социально</w:t>
      </w:r>
      <w:r w:rsidR="009A08BF">
        <w:rPr>
          <w:rFonts w:ascii="Times New Roman" w:hAnsi="Times New Roman" w:cs="Times New Roman"/>
          <w:sz w:val="28"/>
          <w:szCs w:val="28"/>
        </w:rPr>
        <w:t xml:space="preserve"> </w:t>
      </w:r>
      <w:r w:rsidR="00A52A09">
        <w:rPr>
          <w:rFonts w:ascii="Times New Roman" w:hAnsi="Times New Roman" w:cs="Times New Roman"/>
          <w:sz w:val="28"/>
          <w:szCs w:val="28"/>
        </w:rPr>
        <w:br/>
      </w:r>
      <w:r w:rsidRPr="003345BE">
        <w:rPr>
          <w:rFonts w:ascii="Times New Roman" w:hAnsi="Times New Roman" w:cs="Times New Roman"/>
          <w:sz w:val="28"/>
          <w:szCs w:val="28"/>
        </w:rPr>
        <w:t>-</w:t>
      </w:r>
      <w:r w:rsidR="00A52A09">
        <w:rPr>
          <w:rFonts w:ascii="Times New Roman" w:hAnsi="Times New Roman" w:cs="Times New Roman"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 xml:space="preserve">экономического развития муниципального образования «Прокопьевский городской округ» в новой редакции» </w:t>
      </w:r>
      <w:r w:rsidR="00A52A09" w:rsidRPr="00A52A09">
        <w:rPr>
          <w:rFonts w:ascii="Times New Roman" w:hAnsi="Times New Roman" w:cs="Times New Roman"/>
          <w:sz w:val="28"/>
          <w:szCs w:val="28"/>
        </w:rPr>
        <w:t xml:space="preserve">(в редакции от 23.11.2011 № 773, от 21.12.2012 № 931, </w:t>
      </w:r>
      <w:r w:rsidR="00A52A09">
        <w:rPr>
          <w:rFonts w:ascii="Times New Roman" w:hAnsi="Times New Roman" w:cs="Times New Roman"/>
          <w:sz w:val="28"/>
          <w:szCs w:val="28"/>
        </w:rPr>
        <w:br/>
      </w:r>
      <w:r w:rsidR="00A52A09" w:rsidRPr="00A52A09">
        <w:rPr>
          <w:rFonts w:ascii="Times New Roman" w:hAnsi="Times New Roman" w:cs="Times New Roman"/>
          <w:sz w:val="28"/>
          <w:szCs w:val="28"/>
        </w:rPr>
        <w:t>от 19.12.2013 № 42, от 18.12.2014 № 151, от 22.12.2015 № 283</w:t>
      </w:r>
      <w:r w:rsidR="00A52A09">
        <w:rPr>
          <w:rFonts w:ascii="Times New Roman" w:hAnsi="Times New Roman" w:cs="Times New Roman"/>
          <w:sz w:val="28"/>
          <w:szCs w:val="28"/>
        </w:rPr>
        <w:t>,</w:t>
      </w:r>
      <w:r w:rsidR="00A52A09" w:rsidRPr="00A52A09">
        <w:rPr>
          <w:rFonts w:ascii="Times New Roman" w:hAnsi="Times New Roman" w:cs="Times New Roman"/>
          <w:sz w:val="28"/>
          <w:szCs w:val="28"/>
        </w:rPr>
        <w:t xml:space="preserve"> </w:t>
      </w:r>
      <w:r w:rsidR="00A52A09" w:rsidRPr="003345BE">
        <w:rPr>
          <w:rFonts w:ascii="Times New Roman" w:hAnsi="Times New Roman" w:cs="Times New Roman"/>
          <w:sz w:val="28"/>
          <w:szCs w:val="28"/>
        </w:rPr>
        <w:t>от 23.12.2016 № 374</w:t>
      </w:r>
      <w:r w:rsidR="00A52A09" w:rsidRPr="00A52A09">
        <w:rPr>
          <w:rFonts w:ascii="Times New Roman" w:hAnsi="Times New Roman" w:cs="Times New Roman"/>
          <w:sz w:val="28"/>
          <w:szCs w:val="28"/>
        </w:rPr>
        <w:t>)</w:t>
      </w:r>
    </w:p>
    <w:p w:rsidR="003345BE" w:rsidRPr="003345BE" w:rsidRDefault="003345BE" w:rsidP="003345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5BE" w:rsidRDefault="003345BE" w:rsidP="003345B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9A08BF" w:rsidRPr="009A08BF" w:rsidRDefault="009A08BF" w:rsidP="003345B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45BE" w:rsidRPr="009A08BF" w:rsidRDefault="003345BE" w:rsidP="003345B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8B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45BE" w:rsidRPr="009A08BF" w:rsidRDefault="003345BE" w:rsidP="003345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45BE" w:rsidRDefault="009E4782" w:rsidP="009A08BF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45BE" w:rsidRPr="003345BE">
        <w:rPr>
          <w:rFonts w:ascii="Times New Roman" w:hAnsi="Times New Roman" w:cs="Times New Roman"/>
          <w:sz w:val="28"/>
          <w:szCs w:val="28"/>
        </w:rPr>
        <w:t xml:space="preserve">1. Утвердить отчет о фактическом исполнении плана мероприятий </w:t>
      </w:r>
      <w:r w:rsidR="003345BE" w:rsidRPr="003345BE">
        <w:rPr>
          <w:rFonts w:ascii="Times New Roman" w:hAnsi="Times New Roman" w:cs="Times New Roman"/>
          <w:sz w:val="28"/>
          <w:szCs w:val="28"/>
        </w:rPr>
        <w:br/>
        <w:t>и показатели оценки эффективности реализации комплексной программы социально-экономического развития муниципального образования «Прокопьевский городской округ» за 2016 год (приложения № 1, 2).</w:t>
      </w:r>
    </w:p>
    <w:p w:rsidR="009E4782" w:rsidRPr="009E4782" w:rsidRDefault="009E4782" w:rsidP="009A08BF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3345BE" w:rsidRDefault="009E4782" w:rsidP="009A08BF">
      <w:pPr>
        <w:tabs>
          <w:tab w:val="num" w:pos="0"/>
          <w:tab w:val="left" w:pos="108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45BE" w:rsidRPr="003345BE">
        <w:rPr>
          <w:rFonts w:ascii="Times New Roman" w:hAnsi="Times New Roman" w:cs="Times New Roman"/>
          <w:sz w:val="28"/>
          <w:szCs w:val="28"/>
        </w:rPr>
        <w:t>2. Заместителям главы города Прокопьевска проанализировать итоги реализации комплексной Программы социально-экономического развития города по курируемым направлениям. По результатам анализа при необходимости до 1 июня 2017 года провести актуализацию мероприятий комплексной Программы на период  2017-2019 годы.</w:t>
      </w:r>
    </w:p>
    <w:p w:rsidR="009E4782" w:rsidRPr="003345BE" w:rsidRDefault="009E4782" w:rsidP="009A08BF">
      <w:pPr>
        <w:tabs>
          <w:tab w:val="num" w:pos="0"/>
          <w:tab w:val="left" w:pos="108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345BE" w:rsidRPr="003345BE" w:rsidRDefault="003345BE" w:rsidP="009E4782">
      <w:pPr>
        <w:numPr>
          <w:ilvl w:val="0"/>
          <w:numId w:val="28"/>
        </w:numPr>
        <w:tabs>
          <w:tab w:val="clear" w:pos="720"/>
          <w:tab w:val="num" w:pos="0"/>
          <w:tab w:val="left" w:pos="900"/>
          <w:tab w:val="left" w:pos="1260"/>
        </w:tabs>
        <w:suppressAutoHyphens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 настоящего решения возложить на комитеты Прокопьевского городского Совет народных депутатов по </w:t>
      </w:r>
      <w:r w:rsidRPr="003345BE">
        <w:rPr>
          <w:rFonts w:ascii="Times New Roman" w:hAnsi="Times New Roman" w:cs="Times New Roman"/>
          <w:bCs/>
          <w:sz w:val="28"/>
          <w:szCs w:val="28"/>
        </w:rPr>
        <w:t>вопросам: бюджета, налоговой политики и финансов</w:t>
      </w:r>
      <w:r w:rsidRPr="003345BE">
        <w:rPr>
          <w:rFonts w:ascii="Times New Roman" w:hAnsi="Times New Roman" w:cs="Times New Roman"/>
          <w:sz w:val="28"/>
          <w:szCs w:val="28"/>
        </w:rPr>
        <w:t xml:space="preserve"> (А.</w:t>
      </w:r>
      <w:r w:rsidR="0087318C">
        <w:rPr>
          <w:rFonts w:ascii="Times New Roman" w:hAnsi="Times New Roman" w:cs="Times New Roman"/>
          <w:sz w:val="28"/>
          <w:szCs w:val="28"/>
        </w:rPr>
        <w:t xml:space="preserve"> </w:t>
      </w:r>
      <w:r w:rsidR="009E4782">
        <w:rPr>
          <w:rFonts w:ascii="Times New Roman" w:hAnsi="Times New Roman" w:cs="Times New Roman"/>
          <w:sz w:val="28"/>
          <w:szCs w:val="28"/>
        </w:rPr>
        <w:t>П.</w:t>
      </w:r>
      <w:r w:rsidR="0087318C">
        <w:rPr>
          <w:rFonts w:ascii="Times New Roman" w:hAnsi="Times New Roman" w:cs="Times New Roman"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 xml:space="preserve">Булгак); социальной политики </w:t>
      </w:r>
      <w:r w:rsidRPr="003345BE">
        <w:rPr>
          <w:rFonts w:ascii="Times New Roman" w:hAnsi="Times New Roman" w:cs="Times New Roman"/>
          <w:sz w:val="28"/>
          <w:szCs w:val="28"/>
        </w:rPr>
        <w:br/>
        <w:t>(П.</w:t>
      </w:r>
      <w:r w:rsidR="0087318C">
        <w:rPr>
          <w:rFonts w:ascii="Times New Roman" w:hAnsi="Times New Roman" w:cs="Times New Roman"/>
          <w:sz w:val="28"/>
          <w:szCs w:val="28"/>
        </w:rPr>
        <w:t xml:space="preserve"> </w:t>
      </w:r>
      <w:r w:rsidR="009E4782">
        <w:rPr>
          <w:rFonts w:ascii="Times New Roman" w:hAnsi="Times New Roman" w:cs="Times New Roman"/>
          <w:sz w:val="28"/>
          <w:szCs w:val="28"/>
        </w:rPr>
        <w:t>П.</w:t>
      </w:r>
      <w:r w:rsidR="0087318C">
        <w:rPr>
          <w:rFonts w:ascii="Times New Roman" w:hAnsi="Times New Roman" w:cs="Times New Roman"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 xml:space="preserve">Худяков); местного самоуправления и правоохранительной деятельности </w:t>
      </w:r>
      <w:r w:rsidR="00A52A09">
        <w:rPr>
          <w:rFonts w:ascii="Times New Roman" w:hAnsi="Times New Roman" w:cs="Times New Roman"/>
          <w:sz w:val="28"/>
          <w:szCs w:val="28"/>
        </w:rPr>
        <w:br/>
      </w:r>
      <w:r w:rsidRPr="003345BE">
        <w:rPr>
          <w:rFonts w:ascii="Times New Roman" w:hAnsi="Times New Roman" w:cs="Times New Roman"/>
          <w:sz w:val="28"/>
          <w:szCs w:val="28"/>
        </w:rPr>
        <w:t>(А.</w:t>
      </w:r>
      <w:r w:rsidR="0087318C">
        <w:rPr>
          <w:rFonts w:ascii="Times New Roman" w:hAnsi="Times New Roman" w:cs="Times New Roman"/>
          <w:sz w:val="28"/>
          <w:szCs w:val="28"/>
        </w:rPr>
        <w:t xml:space="preserve"> </w:t>
      </w:r>
      <w:r w:rsidR="009E4782">
        <w:rPr>
          <w:rFonts w:ascii="Times New Roman" w:hAnsi="Times New Roman" w:cs="Times New Roman"/>
          <w:sz w:val="28"/>
          <w:szCs w:val="28"/>
        </w:rPr>
        <w:t>Н.</w:t>
      </w:r>
      <w:r w:rsidR="0087318C">
        <w:rPr>
          <w:rFonts w:ascii="Times New Roman" w:hAnsi="Times New Roman" w:cs="Times New Roman"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>Юсупов); развития промышленности, транспорта, связи и строительства</w:t>
      </w:r>
      <w:r w:rsidRPr="003345BE">
        <w:rPr>
          <w:rFonts w:ascii="Times New Roman" w:hAnsi="Times New Roman" w:cs="Times New Roman"/>
          <w:sz w:val="28"/>
          <w:szCs w:val="28"/>
        </w:rPr>
        <w:br/>
        <w:t xml:space="preserve"> (А.</w:t>
      </w:r>
      <w:r w:rsidR="0087318C">
        <w:rPr>
          <w:rFonts w:ascii="Times New Roman" w:hAnsi="Times New Roman" w:cs="Times New Roman"/>
          <w:sz w:val="28"/>
          <w:szCs w:val="28"/>
        </w:rPr>
        <w:t xml:space="preserve"> </w:t>
      </w:r>
      <w:r w:rsidR="009E4782">
        <w:rPr>
          <w:rFonts w:ascii="Times New Roman" w:hAnsi="Times New Roman" w:cs="Times New Roman"/>
          <w:sz w:val="28"/>
          <w:szCs w:val="28"/>
        </w:rPr>
        <w:t>А.</w:t>
      </w:r>
      <w:r w:rsidR="0087318C">
        <w:rPr>
          <w:rFonts w:ascii="Times New Roman" w:hAnsi="Times New Roman" w:cs="Times New Roman"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 xml:space="preserve">Рыжков); предпринимательства, жилищно-коммунального хозяйства </w:t>
      </w:r>
      <w:r w:rsidRPr="003345BE">
        <w:rPr>
          <w:rFonts w:ascii="Times New Roman" w:hAnsi="Times New Roman" w:cs="Times New Roman"/>
          <w:sz w:val="28"/>
          <w:szCs w:val="28"/>
        </w:rPr>
        <w:br/>
        <w:t>и имущественных отношений (М.</w:t>
      </w:r>
      <w:r w:rsidR="009A08BF">
        <w:rPr>
          <w:rFonts w:ascii="Times New Roman" w:hAnsi="Times New Roman" w:cs="Times New Roman"/>
          <w:sz w:val="28"/>
          <w:szCs w:val="28"/>
        </w:rPr>
        <w:t xml:space="preserve"> </w:t>
      </w:r>
      <w:r w:rsidR="009E4782">
        <w:rPr>
          <w:rFonts w:ascii="Times New Roman" w:hAnsi="Times New Roman" w:cs="Times New Roman"/>
          <w:sz w:val="28"/>
          <w:szCs w:val="28"/>
        </w:rPr>
        <w:t xml:space="preserve">Т. </w:t>
      </w:r>
      <w:r w:rsidRPr="003345BE">
        <w:rPr>
          <w:rFonts w:ascii="Times New Roman" w:hAnsi="Times New Roman" w:cs="Times New Roman"/>
          <w:sz w:val="28"/>
          <w:szCs w:val="28"/>
        </w:rPr>
        <w:t xml:space="preserve">Хуснулина). </w:t>
      </w:r>
    </w:p>
    <w:p w:rsidR="003345BE" w:rsidRPr="003345BE" w:rsidRDefault="003345BE" w:rsidP="003345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5BE" w:rsidRPr="003345BE" w:rsidRDefault="003345BE" w:rsidP="003345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8BF" w:rsidRDefault="009A08BF" w:rsidP="009A08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0D77">
        <w:rPr>
          <w:rFonts w:ascii="Times New Roman" w:hAnsi="Times New Roman" w:cs="Times New Roman"/>
          <w:sz w:val="28"/>
          <w:szCs w:val="28"/>
        </w:rPr>
        <w:t xml:space="preserve">    </w:t>
      </w:r>
      <w:r w:rsidR="003345BE" w:rsidRPr="003345B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</w:p>
    <w:p w:rsidR="003345BE" w:rsidRPr="003345BE" w:rsidRDefault="00380D77" w:rsidP="009A08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45BE" w:rsidRPr="003345BE">
        <w:rPr>
          <w:rFonts w:ascii="Times New Roman" w:hAnsi="Times New Roman" w:cs="Times New Roman"/>
          <w:sz w:val="28"/>
          <w:szCs w:val="28"/>
        </w:rPr>
        <w:t>городского С</w:t>
      </w:r>
      <w:r w:rsidR="009A08BF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 w:rsidR="009A08BF">
        <w:rPr>
          <w:rFonts w:ascii="Times New Roman" w:hAnsi="Times New Roman" w:cs="Times New Roman"/>
          <w:sz w:val="28"/>
          <w:szCs w:val="28"/>
        </w:rPr>
        <w:tab/>
      </w:r>
      <w:r w:rsidR="009A08BF">
        <w:rPr>
          <w:rFonts w:ascii="Times New Roman" w:hAnsi="Times New Roman" w:cs="Times New Roman"/>
          <w:sz w:val="28"/>
          <w:szCs w:val="28"/>
        </w:rPr>
        <w:tab/>
      </w:r>
      <w:r w:rsidR="009A08BF">
        <w:rPr>
          <w:rFonts w:ascii="Times New Roman" w:hAnsi="Times New Roman" w:cs="Times New Roman"/>
          <w:sz w:val="28"/>
          <w:szCs w:val="28"/>
        </w:rPr>
        <w:tab/>
      </w:r>
      <w:r w:rsidR="009A08BF">
        <w:rPr>
          <w:rFonts w:ascii="Times New Roman" w:hAnsi="Times New Roman" w:cs="Times New Roman"/>
          <w:sz w:val="28"/>
          <w:szCs w:val="28"/>
        </w:rPr>
        <w:tab/>
      </w:r>
      <w:r w:rsidR="009A08B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345BE" w:rsidRPr="003345BE">
        <w:rPr>
          <w:rFonts w:ascii="Times New Roman" w:hAnsi="Times New Roman" w:cs="Times New Roman"/>
          <w:sz w:val="28"/>
          <w:szCs w:val="28"/>
        </w:rPr>
        <w:t>Н.</w:t>
      </w:r>
      <w:r w:rsidR="009A08BF">
        <w:rPr>
          <w:rFonts w:ascii="Times New Roman" w:hAnsi="Times New Roman" w:cs="Times New Roman"/>
          <w:sz w:val="28"/>
          <w:szCs w:val="28"/>
        </w:rPr>
        <w:t xml:space="preserve"> </w:t>
      </w:r>
      <w:r w:rsidR="003345BE" w:rsidRPr="003345BE">
        <w:rPr>
          <w:rFonts w:ascii="Times New Roman" w:hAnsi="Times New Roman" w:cs="Times New Roman"/>
          <w:sz w:val="28"/>
          <w:szCs w:val="28"/>
        </w:rPr>
        <w:t>А. Бурдина</w:t>
      </w:r>
    </w:p>
    <w:p w:rsidR="003345BE" w:rsidRPr="003345BE" w:rsidRDefault="009A08BF" w:rsidP="009A08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08BF" w:rsidRDefault="003345BE" w:rsidP="009A08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345BE" w:rsidRPr="003345BE" w:rsidRDefault="009A08BF" w:rsidP="009A08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318C">
        <w:rPr>
          <w:rFonts w:ascii="Times New Roman" w:hAnsi="Times New Roman" w:cs="Times New Roman"/>
          <w:sz w:val="28"/>
          <w:szCs w:val="28"/>
        </w:rPr>
        <w:t xml:space="preserve">  </w:t>
      </w:r>
      <w:r w:rsidR="00380D77">
        <w:rPr>
          <w:rFonts w:ascii="Times New Roman" w:hAnsi="Times New Roman" w:cs="Times New Roman"/>
          <w:sz w:val="28"/>
          <w:szCs w:val="28"/>
        </w:rPr>
        <w:t xml:space="preserve">   </w:t>
      </w:r>
      <w:r w:rsidR="003345BE" w:rsidRPr="003345BE">
        <w:rPr>
          <w:rFonts w:ascii="Times New Roman" w:hAnsi="Times New Roman" w:cs="Times New Roman"/>
          <w:sz w:val="28"/>
          <w:szCs w:val="28"/>
        </w:rPr>
        <w:t>Глава</w:t>
      </w:r>
    </w:p>
    <w:p w:rsidR="003345BE" w:rsidRDefault="00380D77" w:rsidP="009A08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45BE" w:rsidRPr="003345BE"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="003345BE" w:rsidRPr="003345BE">
        <w:rPr>
          <w:rFonts w:ascii="Times New Roman" w:hAnsi="Times New Roman" w:cs="Times New Roman"/>
          <w:sz w:val="28"/>
          <w:szCs w:val="28"/>
        </w:rPr>
        <w:tab/>
      </w:r>
      <w:r w:rsidR="003345BE" w:rsidRPr="003345BE">
        <w:rPr>
          <w:rFonts w:ascii="Times New Roman" w:hAnsi="Times New Roman" w:cs="Times New Roman"/>
          <w:sz w:val="28"/>
          <w:szCs w:val="28"/>
        </w:rPr>
        <w:tab/>
      </w:r>
      <w:r w:rsidR="003345BE" w:rsidRPr="003345BE">
        <w:rPr>
          <w:rFonts w:ascii="Times New Roman" w:hAnsi="Times New Roman" w:cs="Times New Roman"/>
          <w:sz w:val="28"/>
          <w:szCs w:val="28"/>
        </w:rPr>
        <w:tab/>
      </w:r>
      <w:r w:rsidR="003345BE" w:rsidRPr="003345BE">
        <w:rPr>
          <w:rFonts w:ascii="Times New Roman" w:hAnsi="Times New Roman" w:cs="Times New Roman"/>
          <w:sz w:val="28"/>
          <w:szCs w:val="28"/>
        </w:rPr>
        <w:tab/>
      </w:r>
      <w:r w:rsidR="003345BE" w:rsidRPr="003345BE">
        <w:rPr>
          <w:rFonts w:ascii="Times New Roman" w:hAnsi="Times New Roman" w:cs="Times New Roman"/>
          <w:sz w:val="28"/>
          <w:szCs w:val="28"/>
        </w:rPr>
        <w:tab/>
      </w:r>
      <w:r w:rsidR="003345BE" w:rsidRPr="003345BE">
        <w:rPr>
          <w:rFonts w:ascii="Times New Roman" w:hAnsi="Times New Roman" w:cs="Times New Roman"/>
          <w:sz w:val="28"/>
          <w:szCs w:val="28"/>
        </w:rPr>
        <w:tab/>
      </w:r>
      <w:r w:rsidR="003345BE" w:rsidRPr="003345BE">
        <w:rPr>
          <w:rFonts w:ascii="Times New Roman" w:hAnsi="Times New Roman" w:cs="Times New Roman"/>
          <w:sz w:val="28"/>
          <w:szCs w:val="28"/>
        </w:rPr>
        <w:tab/>
      </w:r>
      <w:r w:rsidR="003345BE" w:rsidRPr="003345BE">
        <w:rPr>
          <w:rFonts w:ascii="Times New Roman" w:hAnsi="Times New Roman" w:cs="Times New Roman"/>
          <w:sz w:val="28"/>
          <w:szCs w:val="28"/>
        </w:rPr>
        <w:tab/>
      </w:r>
      <w:r w:rsidR="003345BE" w:rsidRPr="003345BE">
        <w:rPr>
          <w:rFonts w:ascii="Times New Roman" w:hAnsi="Times New Roman" w:cs="Times New Roman"/>
          <w:sz w:val="28"/>
          <w:szCs w:val="28"/>
        </w:rPr>
        <w:tab/>
      </w:r>
      <w:r w:rsidR="0087318C">
        <w:rPr>
          <w:rFonts w:ascii="Times New Roman" w:hAnsi="Times New Roman" w:cs="Times New Roman"/>
          <w:sz w:val="28"/>
          <w:szCs w:val="28"/>
        </w:rPr>
        <w:t xml:space="preserve">     </w:t>
      </w:r>
      <w:r w:rsidR="003345BE" w:rsidRPr="003345BE">
        <w:rPr>
          <w:rFonts w:ascii="Times New Roman" w:hAnsi="Times New Roman" w:cs="Times New Roman"/>
          <w:sz w:val="28"/>
          <w:szCs w:val="28"/>
        </w:rPr>
        <w:t>А.</w:t>
      </w:r>
      <w:r w:rsidR="0087318C">
        <w:rPr>
          <w:rFonts w:ascii="Times New Roman" w:hAnsi="Times New Roman" w:cs="Times New Roman"/>
          <w:sz w:val="28"/>
          <w:szCs w:val="28"/>
        </w:rPr>
        <w:t xml:space="preserve"> </w:t>
      </w:r>
      <w:r w:rsidR="003345BE" w:rsidRPr="003345BE">
        <w:rPr>
          <w:rFonts w:ascii="Times New Roman" w:hAnsi="Times New Roman" w:cs="Times New Roman"/>
          <w:sz w:val="28"/>
          <w:szCs w:val="28"/>
        </w:rPr>
        <w:t>Б. Мамаев</w:t>
      </w:r>
    </w:p>
    <w:p w:rsidR="0098259E" w:rsidRPr="0098259E" w:rsidRDefault="0098259E" w:rsidP="00982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59E">
        <w:rPr>
          <w:rFonts w:ascii="Times New Roman" w:hAnsi="Times New Roman" w:cs="Times New Roman"/>
          <w:sz w:val="24"/>
          <w:szCs w:val="24"/>
          <w:u w:val="single"/>
        </w:rPr>
        <w:t>«21» апреля   2017</w:t>
      </w:r>
      <w:r w:rsidRPr="00982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5BE" w:rsidRPr="0098259E" w:rsidRDefault="0098259E" w:rsidP="00982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259E">
        <w:rPr>
          <w:rFonts w:ascii="Times New Roman" w:hAnsi="Times New Roman"/>
          <w:sz w:val="24"/>
          <w:szCs w:val="24"/>
        </w:rPr>
        <w:t xml:space="preserve"> </w:t>
      </w:r>
      <w:r w:rsidR="009A08BF" w:rsidRPr="0098259E">
        <w:rPr>
          <w:rFonts w:ascii="Times New Roman" w:hAnsi="Times New Roman"/>
          <w:sz w:val="24"/>
          <w:szCs w:val="24"/>
        </w:rPr>
        <w:t>(дата подписания)</w:t>
      </w:r>
    </w:p>
    <w:p w:rsidR="00A52A09" w:rsidRDefault="00A52A09" w:rsidP="00A52A09">
      <w:pPr>
        <w:keepNext/>
        <w:keepLines/>
        <w:suppressAutoHyphens/>
        <w:spacing w:after="0" w:line="240" w:lineRule="auto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D37B9E" w:rsidRPr="003345BE" w:rsidRDefault="00A52A09" w:rsidP="00A52A09">
      <w:pPr>
        <w:keepNext/>
        <w:keepLines/>
        <w:suppressAutoHyphens/>
        <w:spacing w:after="0" w:line="240" w:lineRule="auto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B9E" w:rsidRPr="003345BE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B9E" w:rsidRPr="003345BE">
        <w:rPr>
          <w:rFonts w:ascii="Times New Roman" w:hAnsi="Times New Roman" w:cs="Times New Roman"/>
          <w:sz w:val="28"/>
          <w:szCs w:val="28"/>
        </w:rPr>
        <w:t xml:space="preserve">к решению Прокопьевского городского </w:t>
      </w:r>
    </w:p>
    <w:p w:rsidR="00D37B9E" w:rsidRPr="003345BE" w:rsidRDefault="00D37B9E" w:rsidP="00A52A09">
      <w:pPr>
        <w:keepNext/>
        <w:keepLines/>
        <w:suppressAutoHyphens/>
        <w:spacing w:after="0" w:line="240" w:lineRule="auto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D37B9E" w:rsidRPr="003345BE" w:rsidRDefault="00A52A09" w:rsidP="00A52A09">
      <w:pPr>
        <w:keepNext/>
        <w:keepLines/>
        <w:suppressAutoHyphens/>
        <w:spacing w:after="0" w:line="240" w:lineRule="auto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0D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5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D77">
        <w:rPr>
          <w:rFonts w:ascii="Times New Roman" w:hAnsi="Times New Roman" w:cs="Times New Roman"/>
          <w:sz w:val="28"/>
          <w:szCs w:val="28"/>
        </w:rPr>
        <w:t xml:space="preserve"> </w:t>
      </w:r>
      <w:r w:rsidR="009825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59E">
        <w:rPr>
          <w:rFonts w:ascii="Times New Roman" w:hAnsi="Times New Roman" w:cs="Times New Roman"/>
          <w:sz w:val="28"/>
          <w:szCs w:val="28"/>
        </w:rPr>
        <w:t>21.04.2017</w:t>
      </w:r>
      <w:r w:rsidR="00380D77">
        <w:rPr>
          <w:rFonts w:ascii="Times New Roman" w:hAnsi="Times New Roman" w:cs="Times New Roman"/>
          <w:sz w:val="28"/>
          <w:szCs w:val="28"/>
        </w:rPr>
        <w:t xml:space="preserve"> </w:t>
      </w:r>
      <w:r w:rsidR="00D37B9E" w:rsidRPr="003345BE">
        <w:rPr>
          <w:rFonts w:ascii="Times New Roman" w:hAnsi="Times New Roman" w:cs="Times New Roman"/>
          <w:sz w:val="28"/>
          <w:szCs w:val="28"/>
        </w:rPr>
        <w:t xml:space="preserve">№ </w:t>
      </w:r>
      <w:r w:rsidR="00380D77">
        <w:rPr>
          <w:rFonts w:ascii="Times New Roman" w:hAnsi="Times New Roman" w:cs="Times New Roman"/>
          <w:sz w:val="28"/>
          <w:szCs w:val="28"/>
        </w:rPr>
        <w:t>421</w:t>
      </w:r>
    </w:p>
    <w:p w:rsidR="00D37B9E" w:rsidRPr="003345BE" w:rsidRDefault="00D37B9E" w:rsidP="003345BE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B9E" w:rsidRPr="003345BE" w:rsidRDefault="00D37B9E" w:rsidP="003345BE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B9E" w:rsidRPr="003345BE" w:rsidRDefault="00D37B9E" w:rsidP="003345BE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B9E" w:rsidRPr="003345BE" w:rsidRDefault="00D37B9E" w:rsidP="003345BE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B9E" w:rsidRPr="003345BE" w:rsidRDefault="00D37B9E" w:rsidP="003345BE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B9E" w:rsidRPr="003345BE" w:rsidRDefault="00D37B9E" w:rsidP="003345BE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B9E" w:rsidRPr="00380D77" w:rsidRDefault="00D37B9E" w:rsidP="003345BE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7B9E" w:rsidRPr="00380D77" w:rsidRDefault="00D37B9E" w:rsidP="003345BE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D77">
        <w:rPr>
          <w:rFonts w:ascii="Times New Roman" w:hAnsi="Times New Roman" w:cs="Times New Roman"/>
          <w:b/>
          <w:bCs/>
          <w:sz w:val="32"/>
          <w:szCs w:val="32"/>
        </w:rPr>
        <w:t xml:space="preserve">ОТЧЕТ О ФАКТИЧЕСКОМ ИСПОЛНЕНИИ ПЛАНА </w:t>
      </w:r>
    </w:p>
    <w:p w:rsidR="00D37B9E" w:rsidRPr="00380D77" w:rsidRDefault="00D37B9E" w:rsidP="003345BE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D77">
        <w:rPr>
          <w:rFonts w:ascii="Times New Roman" w:hAnsi="Times New Roman" w:cs="Times New Roman"/>
          <w:b/>
          <w:bCs/>
          <w:sz w:val="32"/>
          <w:szCs w:val="32"/>
        </w:rPr>
        <w:t>МЕРОПРИЯТИЙ КОМПЛЕКСНОЙ ПРОГРАММЫ</w:t>
      </w:r>
    </w:p>
    <w:p w:rsidR="00D37B9E" w:rsidRPr="00380D77" w:rsidRDefault="00D37B9E" w:rsidP="003345BE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D77">
        <w:rPr>
          <w:rFonts w:ascii="Times New Roman" w:hAnsi="Times New Roman" w:cs="Times New Roman"/>
          <w:b/>
          <w:bCs/>
          <w:sz w:val="32"/>
          <w:szCs w:val="32"/>
        </w:rPr>
        <w:t xml:space="preserve">СОЦИАЛЬНО-ЭКОНОМИЧЕСКОГО РАЗВИТИЯ </w:t>
      </w:r>
    </w:p>
    <w:p w:rsidR="00D37B9E" w:rsidRPr="00380D77" w:rsidRDefault="00D37B9E" w:rsidP="003345BE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D77"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</w:t>
      </w:r>
    </w:p>
    <w:p w:rsidR="00D37B9E" w:rsidRPr="00380D77" w:rsidRDefault="001E0664" w:rsidP="003345BE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D77">
        <w:rPr>
          <w:rFonts w:ascii="Times New Roman" w:hAnsi="Times New Roman" w:cs="Times New Roman"/>
          <w:b/>
          <w:bCs/>
          <w:sz w:val="32"/>
          <w:szCs w:val="32"/>
        </w:rPr>
        <w:t>«ПРОКОПЬЕВСКИЙ ГОРОДСКОЙ ОКРУГ</w:t>
      </w:r>
      <w:r w:rsidR="00D37B9E" w:rsidRPr="00380D7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37B9E" w:rsidRPr="00380D77" w:rsidRDefault="00D37B9E" w:rsidP="003345BE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D77">
        <w:rPr>
          <w:rFonts w:ascii="Times New Roman" w:hAnsi="Times New Roman" w:cs="Times New Roman"/>
          <w:b/>
          <w:bCs/>
          <w:sz w:val="32"/>
          <w:szCs w:val="32"/>
        </w:rPr>
        <w:t>за 2016 год</w:t>
      </w:r>
    </w:p>
    <w:p w:rsidR="00D37B9E" w:rsidRPr="003345BE" w:rsidRDefault="00D37B9E" w:rsidP="003345BE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B9E" w:rsidRPr="003345BE" w:rsidRDefault="00D37B9E" w:rsidP="003345BE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B9E" w:rsidRPr="003345BE" w:rsidRDefault="00D37B9E" w:rsidP="003345BE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B9E" w:rsidRPr="003345BE" w:rsidRDefault="00D37B9E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37B9E" w:rsidRPr="003345BE" w:rsidRDefault="00D37B9E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37B9E" w:rsidRPr="003345BE" w:rsidRDefault="00D37B9E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37B9E" w:rsidRPr="003345BE" w:rsidRDefault="00D37B9E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37B9E" w:rsidRPr="003345BE" w:rsidRDefault="00D37B9E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37B9E" w:rsidRPr="003345BE" w:rsidRDefault="00D37B9E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37B9E" w:rsidRPr="003345BE" w:rsidRDefault="00D37B9E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37B9E" w:rsidRPr="003345BE" w:rsidRDefault="00D37B9E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37B9E" w:rsidRPr="003345BE" w:rsidRDefault="00D37B9E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37B9E" w:rsidRPr="003345BE" w:rsidRDefault="00D37B9E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43C05" w:rsidRPr="003345BE" w:rsidRDefault="00A43C05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43C05" w:rsidRPr="003345BE" w:rsidRDefault="00A43C05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43C05" w:rsidRPr="003345BE" w:rsidRDefault="00A43C05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43C05" w:rsidRPr="003345BE" w:rsidRDefault="00A43C05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37B9E" w:rsidRDefault="00D37B9E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52A09" w:rsidRDefault="00A52A09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52A09" w:rsidRDefault="00A52A09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52A09" w:rsidRDefault="00A52A09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52A09" w:rsidRDefault="00A52A09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52A09" w:rsidRDefault="00A52A09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52A09" w:rsidRDefault="00A52A09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52A09" w:rsidRDefault="00A52A09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52A09" w:rsidRDefault="00A52A09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52A09" w:rsidRDefault="00A52A09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37B9E" w:rsidRPr="003345BE" w:rsidRDefault="00D37B9E" w:rsidP="00380D77">
      <w:pPr>
        <w:pStyle w:val="a4"/>
        <w:keepNext/>
        <w:keepLines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37B9E" w:rsidRPr="003345BE" w:rsidRDefault="00D37B9E" w:rsidP="003345BE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5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Реализация мероприятий комплексной программы</w:t>
      </w:r>
    </w:p>
    <w:p w:rsidR="00D37B9E" w:rsidRPr="003345BE" w:rsidRDefault="00D37B9E" w:rsidP="003345BE">
      <w:pPr>
        <w:keepNext/>
        <w:keepLines/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5BE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социально-экономического развития  города Прокопьевска</w:t>
      </w:r>
    </w:p>
    <w:p w:rsidR="00D37B9E" w:rsidRPr="003345BE" w:rsidRDefault="00D37B9E" w:rsidP="003345BE">
      <w:pPr>
        <w:keepNext/>
        <w:keepLines/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Комплексная программа социально-экономического развития города Прокопьевска реализуется с 2007 года.   22 декабря 2010 решением № 537  (в редакции от 23.12.2016                  № 374) Прокопьевского городского Совета народных депутатов утверждена скорректированная Комплексная Программа социально-экономического развития с учетом инвестиционных проектов, направленных на диверсификацию экономики. </w:t>
      </w:r>
    </w:p>
    <w:p w:rsidR="00D37B9E" w:rsidRPr="003345BE" w:rsidRDefault="00D37B9E" w:rsidP="003345BE">
      <w:pPr>
        <w:keepNext/>
        <w:keepLines/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Реализация программных мероприятий комплексной программы направлена на выполнение главной цели – улучшение качества жизни населения и осуществляется по следующим направлениям:</w:t>
      </w:r>
    </w:p>
    <w:p w:rsidR="00D37B9E" w:rsidRPr="003345BE" w:rsidRDefault="00D37B9E" w:rsidP="003345BE">
      <w:pPr>
        <w:keepNext/>
        <w:keepLines/>
        <w:numPr>
          <w:ilvl w:val="0"/>
          <w:numId w:val="15"/>
        </w:numPr>
        <w:tabs>
          <w:tab w:val="clear" w:pos="1068"/>
          <w:tab w:val="num" w:pos="0"/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обеспечение роста экономического потенциала города на основе диверсификации экономики;</w:t>
      </w:r>
    </w:p>
    <w:p w:rsidR="00D37B9E" w:rsidRPr="003345BE" w:rsidRDefault="00D37B9E" w:rsidP="003345BE">
      <w:pPr>
        <w:keepNext/>
        <w:keepLines/>
        <w:numPr>
          <w:ilvl w:val="0"/>
          <w:numId w:val="15"/>
        </w:numPr>
        <w:tabs>
          <w:tab w:val="clear" w:pos="1068"/>
          <w:tab w:val="num" w:pos="0"/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обеспечение роста благосостояния и социального благополучия населения;</w:t>
      </w:r>
    </w:p>
    <w:p w:rsidR="00D37B9E" w:rsidRPr="003345BE" w:rsidRDefault="00D37B9E" w:rsidP="003345BE">
      <w:pPr>
        <w:keepNext/>
        <w:keepLines/>
        <w:numPr>
          <w:ilvl w:val="0"/>
          <w:numId w:val="15"/>
        </w:numPr>
        <w:tabs>
          <w:tab w:val="clear" w:pos="1068"/>
          <w:tab w:val="num" w:pos="0"/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инфраструктурное обеспечение высокого качества городской среды;</w:t>
      </w:r>
    </w:p>
    <w:p w:rsidR="00D37B9E" w:rsidRPr="003345BE" w:rsidRDefault="00D37B9E" w:rsidP="003345BE">
      <w:pPr>
        <w:keepNext/>
        <w:keepLines/>
        <w:numPr>
          <w:ilvl w:val="0"/>
          <w:numId w:val="15"/>
        </w:numPr>
        <w:tabs>
          <w:tab w:val="clear" w:pos="1068"/>
          <w:tab w:val="num" w:pos="0"/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повышение качества окружающей природной среды.</w:t>
      </w:r>
    </w:p>
    <w:p w:rsidR="00D37B9E" w:rsidRPr="003345BE" w:rsidRDefault="00D37B9E" w:rsidP="003345BE">
      <w:pPr>
        <w:keepNext/>
        <w:keepLines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B9E" w:rsidRDefault="00D37B9E" w:rsidP="003345BE">
      <w:pPr>
        <w:keepNext/>
        <w:keepLine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За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2007 – 2016 годы</w:t>
      </w:r>
      <w:r w:rsidRPr="003345BE">
        <w:rPr>
          <w:rFonts w:ascii="Times New Roman" w:hAnsi="Times New Roman" w:cs="Times New Roman"/>
          <w:sz w:val="28"/>
          <w:szCs w:val="28"/>
        </w:rPr>
        <w:t xml:space="preserve"> на выполнение мероприятий комплексной Программы социально-экономического развития города Прокопьевска направлено более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51 млрд.руб</w:t>
      </w:r>
      <w:r w:rsidRPr="003345BE">
        <w:rPr>
          <w:rFonts w:ascii="Times New Roman" w:hAnsi="Times New Roman" w:cs="Times New Roman"/>
          <w:sz w:val="28"/>
          <w:szCs w:val="28"/>
        </w:rPr>
        <w:t xml:space="preserve">., в том числе  3,9 млрд.рублей в 2016 году. В 2016 году  собственные средства составили 42,5 % (1,7 млрд.рублей), бюджетные средства 57,5% (2,2 млрд.руб.), в том числе средства местного бюджета составили 612,8 млн.руб. </w:t>
      </w:r>
    </w:p>
    <w:p w:rsidR="00A52A09" w:rsidRPr="003345BE" w:rsidRDefault="00A52A09" w:rsidP="003345BE">
      <w:pPr>
        <w:keepNext/>
        <w:keepLine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1"/>
        <w:gridCol w:w="1272"/>
        <w:gridCol w:w="1592"/>
        <w:gridCol w:w="1448"/>
        <w:gridCol w:w="1447"/>
        <w:gridCol w:w="1882"/>
      </w:tblGrid>
      <w:tr w:rsidR="00D37B9E" w:rsidRPr="003345BE" w:rsidTr="00A52A09">
        <w:trPr>
          <w:trHeight w:val="679"/>
        </w:trPr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99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Ед.изм.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Реализация мероприятий </w:t>
            </w:r>
          </w:p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структура инвестиций %</w:t>
            </w:r>
          </w:p>
        </w:tc>
      </w:tr>
      <w:tr w:rsidR="00D37B9E" w:rsidRPr="003345BE" w:rsidTr="00A52A09">
        <w:trPr>
          <w:trHeight w:val="651"/>
        </w:trPr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D37B9E" w:rsidRPr="003345BE" w:rsidRDefault="00D37B9E" w:rsidP="003345BE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7B9E" w:rsidRPr="003345BE" w:rsidTr="00A52A09">
        <w:trPr>
          <w:trHeight w:val="540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по направлению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4071,6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95,5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D37B9E" w:rsidRPr="003345BE" w:rsidTr="00A52A09">
        <w:trPr>
          <w:trHeight w:val="360"/>
        </w:trPr>
        <w:tc>
          <w:tcPr>
            <w:tcW w:w="2977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 т.ч. по источникам:</w:t>
            </w:r>
          </w:p>
        </w:tc>
        <w:tc>
          <w:tcPr>
            <w:tcW w:w="1134" w:type="dxa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B9E" w:rsidRPr="003345BE" w:rsidTr="00A52A09">
        <w:trPr>
          <w:trHeight w:val="360"/>
        </w:trPr>
        <w:tc>
          <w:tcPr>
            <w:tcW w:w="2977" w:type="dxa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559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977,6</w:t>
            </w:r>
          </w:p>
        </w:tc>
        <w:tc>
          <w:tcPr>
            <w:tcW w:w="1418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818,5</w:t>
            </w:r>
          </w:p>
        </w:tc>
        <w:tc>
          <w:tcPr>
            <w:tcW w:w="1417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1843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D37B9E" w:rsidRPr="003345BE" w:rsidTr="00A52A09">
        <w:trPr>
          <w:trHeight w:val="360"/>
        </w:trPr>
        <w:tc>
          <w:tcPr>
            <w:tcW w:w="2977" w:type="dxa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559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788,8</w:t>
            </w:r>
          </w:p>
        </w:tc>
        <w:tc>
          <w:tcPr>
            <w:tcW w:w="1418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806,1</w:t>
            </w:r>
          </w:p>
        </w:tc>
        <w:tc>
          <w:tcPr>
            <w:tcW w:w="1417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1843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</w:tr>
      <w:tr w:rsidR="00D37B9E" w:rsidRPr="003345BE" w:rsidTr="00A52A09">
        <w:trPr>
          <w:trHeight w:val="360"/>
        </w:trPr>
        <w:tc>
          <w:tcPr>
            <w:tcW w:w="2977" w:type="dxa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559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642,2</w:t>
            </w:r>
          </w:p>
        </w:tc>
        <w:tc>
          <w:tcPr>
            <w:tcW w:w="1418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612,8</w:t>
            </w:r>
          </w:p>
        </w:tc>
        <w:tc>
          <w:tcPr>
            <w:tcW w:w="1417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1843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</w:tr>
      <w:tr w:rsidR="00D37B9E" w:rsidRPr="003345BE" w:rsidTr="00A52A09">
        <w:trPr>
          <w:trHeight w:val="360"/>
        </w:trPr>
        <w:tc>
          <w:tcPr>
            <w:tcW w:w="2977" w:type="dxa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134" w:type="dxa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559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1006,9</w:t>
            </w:r>
          </w:p>
        </w:tc>
        <w:tc>
          <w:tcPr>
            <w:tcW w:w="1418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1006,6</w:t>
            </w:r>
          </w:p>
        </w:tc>
        <w:tc>
          <w:tcPr>
            <w:tcW w:w="1417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D37B9E" w:rsidRPr="003345BE" w:rsidTr="00A52A09">
        <w:trPr>
          <w:trHeight w:val="360"/>
        </w:trPr>
        <w:tc>
          <w:tcPr>
            <w:tcW w:w="2977" w:type="dxa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внебюджетные       средства</w:t>
            </w:r>
          </w:p>
        </w:tc>
        <w:tc>
          <w:tcPr>
            <w:tcW w:w="1134" w:type="dxa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559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656,1</w:t>
            </w:r>
          </w:p>
        </w:tc>
        <w:tc>
          <w:tcPr>
            <w:tcW w:w="1418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646,3</w:t>
            </w:r>
          </w:p>
        </w:tc>
        <w:tc>
          <w:tcPr>
            <w:tcW w:w="1417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843" w:type="dxa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</w:tbl>
    <w:p w:rsidR="006F4740" w:rsidRPr="003345BE" w:rsidRDefault="006F4740" w:rsidP="003345BE">
      <w:pPr>
        <w:pStyle w:val="a4"/>
        <w:keepNext/>
        <w:keepLines/>
        <w:suppressAutoHyphens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D37B9E" w:rsidRPr="003345BE" w:rsidRDefault="00D37B9E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5B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345BE">
        <w:rPr>
          <w:rFonts w:ascii="Times New Roman" w:hAnsi="Times New Roman"/>
          <w:b/>
          <w:bCs/>
          <w:sz w:val="28"/>
          <w:szCs w:val="28"/>
        </w:rPr>
        <w:t>.</w:t>
      </w:r>
      <w:r w:rsidRPr="003345BE">
        <w:rPr>
          <w:rFonts w:ascii="Times New Roman" w:hAnsi="Times New Roman"/>
          <w:sz w:val="28"/>
          <w:szCs w:val="28"/>
        </w:rPr>
        <w:t xml:space="preserve"> </w:t>
      </w:r>
      <w:r w:rsidRPr="003345BE">
        <w:rPr>
          <w:rFonts w:ascii="Times New Roman" w:hAnsi="Times New Roman"/>
          <w:b/>
          <w:bCs/>
          <w:sz w:val="28"/>
          <w:szCs w:val="28"/>
        </w:rPr>
        <w:t>Обеспечение роста экономического потенциала города.</w:t>
      </w:r>
    </w:p>
    <w:p w:rsidR="00D37B9E" w:rsidRPr="003345BE" w:rsidRDefault="00D37B9E" w:rsidP="003345BE">
      <w:pPr>
        <w:pStyle w:val="a4"/>
        <w:keepNext/>
        <w:keepLines/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   За 2016 год на повышение экономического потенциала города было освоено 633,7 млн.рублей,   это 99 % от плана. К 2015 году вложение инвестиций сокращено на 4,4% (или на 29,1 млн.рублей), что связано,  прежде всего, с изменениями намерений инвесторов по приостановке реализации ряда инвестиционных проектов в сфере </w:t>
      </w:r>
      <w:r w:rsidRPr="003345BE">
        <w:rPr>
          <w:rFonts w:ascii="Times New Roman" w:hAnsi="Times New Roman" w:cs="Times New Roman"/>
          <w:sz w:val="28"/>
          <w:szCs w:val="28"/>
        </w:rPr>
        <w:lastRenderedPageBreak/>
        <w:t>реального сектора экономики, сокращением капитальных вложений на поддержку и техническое перевооружение предприятий угольной отрасли.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  В 2016 года добычу угля осуществляет ЗАО «Прокопьевский угольный разрез» (ХК «Сибирский Деловой Союз»), ООО «Разрез Березовский» (ООО «Стройсервис»). Кроме того, ООО «ЭнергиЯ-НК» имеет лицензию на добычу каменного угля на участке ООО «Шахта им. Дзержинского» и на выполнение работ по ликвидации ООО «Шахта Зенковская» и попутной добыче угля. ООО «Шахта им. Дзержинского» (ООО «МелТЭК») с октября 2015 года оказывает услуги по добыче угля ООО «ЭнергиЯ-НК». С 01.01.2016 ООО «Шахта Красногорская» прекратила добычу угля и находится в стадии ликвидации.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 На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 ООО шахте им. «Дзержинского»</w:t>
      </w:r>
      <w:r w:rsidRPr="003345BE">
        <w:rPr>
          <w:rFonts w:ascii="Times New Roman" w:hAnsi="Times New Roman" w:cs="Times New Roman"/>
          <w:sz w:val="28"/>
          <w:szCs w:val="28"/>
        </w:rPr>
        <w:t xml:space="preserve"> добыча угля  за 2016 год возросла на 1,3 % и составила  597,2 тыс. тонн. Численность работающих на 01.01.2017 г. составила 1378 человек.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 Стабильно работает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ЗАО «Прокопьевский угольный разрез»</w:t>
      </w:r>
      <w:r w:rsidRPr="003345BE">
        <w:rPr>
          <w:rFonts w:ascii="Times New Roman" w:hAnsi="Times New Roman" w:cs="Times New Roman"/>
          <w:sz w:val="28"/>
          <w:szCs w:val="28"/>
        </w:rPr>
        <w:t xml:space="preserve"> ХК ОАО «СДС-уголь». За       2016 год  добыто угля 1694,2 тыс. тонн, что  на 351,9 тыс. тонн больше (или на 26,2 %), чем за  2015 год. Численность работающих на 01.01.2017 г. составила 710 человек.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      Переработку угля</w:t>
      </w:r>
      <w:r w:rsidRPr="003345BE">
        <w:rPr>
          <w:rFonts w:ascii="Times New Roman" w:hAnsi="Times New Roman" w:cs="Times New Roman"/>
          <w:sz w:val="28"/>
          <w:szCs w:val="28"/>
        </w:rPr>
        <w:t xml:space="preserve"> в городе производят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ООО «ОФ «Прокопьевскуголь»</w:t>
      </w:r>
      <w:r w:rsidRPr="003345BE">
        <w:rPr>
          <w:rFonts w:ascii="Times New Roman" w:hAnsi="Times New Roman" w:cs="Times New Roman"/>
          <w:sz w:val="28"/>
          <w:szCs w:val="28"/>
        </w:rPr>
        <w:t xml:space="preserve"> (ЗАО ХК «СДС»),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ООО «ОФ «Коксовая»</w:t>
      </w:r>
      <w:r w:rsidRPr="003345BE">
        <w:rPr>
          <w:rFonts w:ascii="Times New Roman" w:hAnsi="Times New Roman" w:cs="Times New Roman"/>
          <w:sz w:val="28"/>
          <w:szCs w:val="28"/>
        </w:rPr>
        <w:t xml:space="preserve"> (Холдинг ТопПром) и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ООО «ОФ «Прокопьевская»</w:t>
      </w:r>
      <w:r w:rsidRPr="003345BE">
        <w:rPr>
          <w:rFonts w:ascii="Times New Roman" w:hAnsi="Times New Roman" w:cs="Times New Roman"/>
          <w:sz w:val="28"/>
          <w:szCs w:val="28"/>
        </w:rPr>
        <w:t xml:space="preserve"> (ООО "Карбо-Альянс"). За  2016 год выпуск концентрата по сравнению с 2015 годом возрос на 802,1 тыс. тонн или на 25,4 % и составил  3962,4 тыс. тонн.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На поддержку и техническое перевооружение обеспечения безопасности труда и реконструкцию действующих предприятий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угольной промышленности</w:t>
      </w:r>
      <w:r w:rsidRPr="003345BE">
        <w:rPr>
          <w:rFonts w:ascii="Times New Roman" w:hAnsi="Times New Roman" w:cs="Times New Roman"/>
          <w:sz w:val="28"/>
          <w:szCs w:val="28"/>
        </w:rPr>
        <w:t xml:space="preserve"> собственники вложили 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352,4 млн. руб</w:t>
      </w:r>
      <w:r w:rsidRPr="003345BE">
        <w:rPr>
          <w:rFonts w:ascii="Times New Roman" w:hAnsi="Times New Roman" w:cs="Times New Roman"/>
          <w:sz w:val="28"/>
          <w:szCs w:val="28"/>
        </w:rPr>
        <w:t>. К 2015 году капитальные вложения возросли на 48%.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Собственниками ООО «Стройсервис» вложено 192 млн.рублей на техническое перевооружение  ООО «Разрез Березовский»; 4,7 млн. руб. вложено на монтаж и модернизацию оборудования ООО «ОФ «Прокопьевскуголь». 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В рамках реализации направления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по инновационному развитию обрабатывающих производств</w:t>
      </w:r>
      <w:r w:rsidRPr="003345BE">
        <w:rPr>
          <w:rFonts w:ascii="Times New Roman" w:hAnsi="Times New Roman" w:cs="Times New Roman"/>
          <w:sz w:val="28"/>
          <w:szCs w:val="28"/>
        </w:rPr>
        <w:t xml:space="preserve"> на предприятиях  машиностроения постоянно проводится работа по модернизации выпускаемых изделий и освоению новых видов продукции. Наибольший удельный вес среди обрабатывающих производств занимает производство продукции машиностроения – 35,4 %.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Объемы отгрузки продукции машиностроения сократились с 1007,5 млн. руб. за  2015 год  до 856,9 млн. руб. за 2016 год  или на 14,9 %.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На инновационное развитие обрабатывающих производств в 2016 году вложено 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75,2 млн. руб. </w:t>
      </w:r>
      <w:r w:rsidRPr="003345BE">
        <w:rPr>
          <w:rFonts w:ascii="Times New Roman" w:hAnsi="Times New Roman" w:cs="Times New Roman"/>
          <w:sz w:val="28"/>
          <w:szCs w:val="28"/>
        </w:rPr>
        <w:t>(99,2% к плану) следующими предприятиями: ООО «Завод взрывозащищенного и общепромышленного оборудования «Горэкс-Светотехника», ООО «Прокопьевский ремонтный трамвайно-троллейбусный завод», ООО «Прокопьевский ремонтно-механический завод», ООО «Сибгазстрой», ЗАО «Автосельхозснаб», ООО ПО «Перспектива», ООО «КВРП «Новотранс».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В результате в рамках импортозамещения реализованы проекты: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    Организация производства по выпуску серии стационарных взрывобезопасных светильников в исполнении «Морской Регистр».</w:t>
      </w:r>
      <w:r w:rsidRPr="003345BE">
        <w:rPr>
          <w:rFonts w:ascii="Times New Roman" w:hAnsi="Times New Roman" w:cs="Times New Roman"/>
          <w:sz w:val="28"/>
          <w:szCs w:val="28"/>
        </w:rPr>
        <w:t xml:space="preserve"> В 2016 году отлиты две пресс-формы для кнопки КУ, пресс-форма для КВСА, «штамп для вырубки». Получен сертификат «Технопрогресса» на Квант-1, 2, 2.1., на светильник </w:t>
      </w:r>
      <w:r w:rsidRPr="003345BE">
        <w:rPr>
          <w:rFonts w:ascii="Times New Roman" w:hAnsi="Times New Roman" w:cs="Times New Roman"/>
          <w:sz w:val="28"/>
          <w:szCs w:val="28"/>
        </w:rPr>
        <w:lastRenderedPageBreak/>
        <w:t xml:space="preserve">СГВ взрывозащищенный. Создано 10 новых рабочих мест (2016 год). Шкаф RC-цепей взрывозащищённый (EX-компонент),  выдан ОС ВРЭ ВостНИИ. Отлиты две пресс-формы для кнопки КУ, пресс-форма для КВСА, «штамп для вырубки». Получен сертификат «Технопрогресса» на Квант-1, 2, 2.1., на светильник СГВ взрывозащищенный. Создано 10 новых рабочих мест. Произведено  продукции на сумму 5,7 млн.руб. 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     ООО «Завод ВЗОПО «Горэкс-Светотехника». </w:t>
      </w:r>
      <w:r w:rsidRPr="003345BE">
        <w:rPr>
          <w:rFonts w:ascii="Times New Roman" w:hAnsi="Times New Roman" w:cs="Times New Roman"/>
          <w:sz w:val="28"/>
          <w:szCs w:val="28"/>
        </w:rPr>
        <w:t>В 2016 году произведен выпуск изделий, прошедших  опытные испытания (АОШ-4М, устройство телефонной связи УТС-20 на базе ТШМ с новыми клеммными колодками, взрывозащитного соединительного ящика на базе СЯ и др.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     В развитие электроэнергетического комплекса </w:t>
      </w:r>
      <w:r w:rsidRPr="003345BE">
        <w:rPr>
          <w:rFonts w:ascii="Times New Roman" w:hAnsi="Times New Roman" w:cs="Times New Roman"/>
          <w:sz w:val="28"/>
          <w:szCs w:val="28"/>
        </w:rPr>
        <w:t xml:space="preserve">за 2016 год вложено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115 млн. рублей</w:t>
      </w:r>
      <w:r w:rsidRPr="003345BE">
        <w:rPr>
          <w:rFonts w:ascii="Times New Roman" w:hAnsi="Times New Roman" w:cs="Times New Roman"/>
          <w:sz w:val="28"/>
          <w:szCs w:val="28"/>
        </w:rPr>
        <w:t xml:space="preserve"> (109,5 % к плану). На техническое перевооружение,  приобретение оборудования для обеспечения бесперебойного снабжения электроэнергией, увеличения производственных мощностей вложено 48,1 млн.рублей ООО «Кузбасская энергосетевая компания», 65 млн.рублей - ОАО «Прокопьевскэнерго», 1,9 млн.рублей  - ОАО «МРСК Сибири» «Кузбассэнерго РЭС» по г. Прокопьевску.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37B9E" w:rsidRPr="003345BE" w:rsidRDefault="00D37B9E" w:rsidP="003345BE">
      <w:pPr>
        <w:keepNext/>
        <w:keepLines/>
        <w:tabs>
          <w:tab w:val="left" w:pos="375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b/>
          <w:bCs/>
          <w:sz w:val="28"/>
          <w:szCs w:val="28"/>
        </w:rPr>
        <w:t>Развитие малого и среднего бизнеса</w:t>
      </w:r>
      <w:r w:rsidRPr="003345BE">
        <w:rPr>
          <w:rFonts w:ascii="Times New Roman" w:hAnsi="Times New Roman" w:cs="Times New Roman"/>
          <w:sz w:val="28"/>
          <w:szCs w:val="28"/>
        </w:rPr>
        <w:t>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 В рамках реализации мероприятий муниципальной программы «Развитие малого и среднего предпринимательства Прокопьевского городского округа» в 2016 году освоено всего 9 720 тыс.рублей, в том числе: местный бюджет - 120 тыс.руб.; областной бюджет - 480 тыс. руб., федеральный бюджет 9 120 тыс.руб.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 Денежные средства направлены на реализацию следующих мероприятий программы: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- предоставление грантов начинающим субъектам малого и среднего предпринимательства на создание собственного бизнеса – 4050 тыс.руб.;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- предоставление субсидий субъектам малого и среднего предпринимательства для возмещения части затрат, связанных с приобретением оборудования  -  5 670 тыс.руб.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      По результатам конкурсных отборов предоставлено на реализацию бизнес-проектов  9 грантов: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ИП Никитиной Кристине Алексеевне -  «Организация работы кафе «Карусель» в сумме 490 тыс.рублей;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ООО «Спорт-арена «Муравей» (директор Угольков Андрей Юрьевич) - «Спорт-арена «Муравей» в сумме 500 тыс. 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 ООО «Альфа» (директор Пантелеева Ольга Владимировна) -  «Открытие столовой «Африка» в сумме 500 тыс. 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 ИП Арыкову Артему Владимировичу - «Открытие станции технического обслуживания автотранспортных средств»    в сумме 500 тыс.рублей;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ИП Кузьминой Екатерине Сергеевне - «Производство и реализация наборов для вышивания» в сумме 500 тыс.рублей;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 ИП Рудяковой Марине Сергеевне - «Деятельность в области фотографии в г.Прокопьевске» в сумме 370 тыс. 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 ИП   Кондратьеву  Евгению Анатольевичу - «Художественная ковка» в сумме 490 тыс.рублей;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- ИП Головниной Полине Ивановне - «Фотостудия Полины Головниной» в сумме 500 тыс. рублей;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lastRenderedPageBreak/>
        <w:t>- ИП Гладковой Татьяне Александровне - «Гриль-таверна «Клевер удачи» в сумме 200 тыс.рублей;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     12 субсидий на возмещение части затрат, связанных с приобретением оборудовании на сумму 5670 тыс. рублей: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ООО «Дарница» (директор Дадыкин Владимир Юрьевич)  в сумме 800 тыс. 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 - ИП Капустину Валерию Петровичу в сумме 650 тыс.рублей;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ИП   Терещенко  Валерию Владимировичу в сумме 400 тыс. 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ИП Зраеву Денису Михайловичу в сумме 200 тыс. 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ООО «Женская консультация» (директор Дербичева Екатерина Анатольевна) в сумме 750 тыс.рублей;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ООО «ЛеОМеД» (директор Кондауров Валерий Вячеславович) в сумме 750 000 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ИП Наумову Данилу Юрьевичу в сумме 230 тыс. 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 ИП Пановой Елене Геннадьевне  в сумме 70 тыс. 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ООО «Центр лучевой диагностики» (директор Кондауров Валерий Вячеславович) в сумме 170 тыс. 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ИП Маркеловой Марине Алексеевне в сумме 500тыс. 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ООО    «Спорт-арена «Муравей» (директор Угольков Андрей Юрьевич) в сумме  800 тыс.рублей;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-  ООО «Реал Мебель» (генеральный директор Эргардт Эдуард Александрович) в сумме 350 тыс.рублей.   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За 2016 год МФ ПМП г.Прокопьевска профинансировано 42 проекта   на   сумму   39000,0 тыс.рублей за счет реинвестированных средств.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Создано 51 новое рабочее место.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Образовательные услуги получили 192 субъекта МСП на сумму 1 624,4 тыс. рублей.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В 2016г. в городе открылись: «Мария-Ра» (ООО «Розница К1») по                               ул.Комсомольская,3, ул. Обручева, 47б, ул.З.Космодемьянской, 27, ул.Обручева,41, пр. Строителей,55,ул. 10 микрорайон,12, ул. Есенина,70,    ул. Черных,12, ;  магазины «Радость» (ООО «Радость») по пр.Строителей,53, ул. Союзная,7а, ул. Советов,25, ул. Мурманская,29; магазин «Ярче» (ООО «Камелот-А») по пр.Ленина,25; магазин «Пятерочка» (ООО «Агроторг») по пр. Гагарина,22б; магазин «Калина,малина» (ИП Фулкалова С.А.)                         по пр.Гагарина,37, «Продукты» (ООО «Престиж») по ул.10 микрорайон,5б; «Дашечка» (ИП БредихинаИ.П.) по пер.Коксовый,14; магазины «Ариант» (ООО «Агрофирма Ариант» по пр.Ленина,30 и ул. Обручева,65а; «Колесо» (ИП Бахчурин А.К.) по ул. Советов,15; «Калибри» (ООО «Калибри») по ул.Вокзальная,53.</w:t>
      </w:r>
    </w:p>
    <w:p w:rsidR="00D37B9E" w:rsidRPr="003345BE" w:rsidRDefault="00D37B9E" w:rsidP="003345BE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В результате строительства новых объектов и расширения действующих                          за 2016 год освоено 91,1 млн.рублей.  Создано 115 новых рабочих места.  </w:t>
      </w:r>
    </w:p>
    <w:p w:rsidR="00D37B9E" w:rsidRPr="003345BE" w:rsidRDefault="00D37B9E" w:rsidP="003345BE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B9E" w:rsidRPr="003345BE" w:rsidRDefault="00D37B9E" w:rsidP="003345BE">
      <w:pPr>
        <w:pStyle w:val="210"/>
        <w:ind w:firstLine="555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31"/>
        <w:gridCol w:w="5041"/>
        <w:gridCol w:w="1385"/>
        <w:gridCol w:w="1049"/>
        <w:gridCol w:w="1049"/>
        <w:gridCol w:w="1627"/>
      </w:tblGrid>
      <w:tr w:rsidR="00D37B9E" w:rsidRPr="003345BE" w:rsidTr="00A52A09">
        <w:trPr>
          <w:trHeight w:val="285"/>
        </w:trPr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7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19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2016г.</w:t>
            </w:r>
          </w:p>
        </w:tc>
        <w:tc>
          <w:tcPr>
            <w:tcW w:w="1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исполнения</w:t>
            </w:r>
          </w:p>
        </w:tc>
      </w:tr>
      <w:tr w:rsidR="00D37B9E" w:rsidRPr="003345BE" w:rsidTr="00A52A09">
        <w:trPr>
          <w:trHeight w:val="343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B9E" w:rsidRPr="003345BE" w:rsidTr="00A52A09">
        <w:trPr>
          <w:trHeight w:val="662"/>
        </w:trPr>
        <w:tc>
          <w:tcPr>
            <w:tcW w:w="1003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Обеспечение роста экономического потенциала города на основе диверсификации экономики</w:t>
            </w:r>
          </w:p>
        </w:tc>
      </w:tr>
      <w:tr w:rsidR="00D37B9E" w:rsidRPr="003345BE" w:rsidTr="00A52A09">
        <w:trPr>
          <w:trHeight w:val="319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по направлению 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643,0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633,7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99,0</w:t>
            </w:r>
          </w:p>
        </w:tc>
      </w:tr>
      <w:tr w:rsidR="00D37B9E" w:rsidRPr="003345BE" w:rsidTr="00A52A09">
        <w:trPr>
          <w:trHeight w:val="54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Поддержание производственного потенциала угледобывающей отрасли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371,0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352,4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D37B9E" w:rsidRPr="003345BE" w:rsidTr="00A52A09">
        <w:trPr>
          <w:trHeight w:val="60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Инновационное развитие обрабатывающих производств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D37B9E" w:rsidRPr="003345BE" w:rsidTr="00A52A09">
        <w:trPr>
          <w:trHeight w:val="329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Развитие энергетического комплекса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109,5</w:t>
            </w:r>
          </w:p>
        </w:tc>
      </w:tr>
      <w:tr w:rsidR="00D37B9E" w:rsidRPr="003345BE" w:rsidTr="00A52A09">
        <w:trPr>
          <w:trHeight w:val="354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малого  бизнеса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D37B9E" w:rsidRPr="003345BE" w:rsidTr="00A52A09">
        <w:trPr>
          <w:trHeight w:val="309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B9E" w:rsidRPr="003345BE" w:rsidTr="00A52A09">
        <w:trPr>
          <w:trHeight w:val="309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7B9E" w:rsidRPr="003345BE" w:rsidTr="00A52A09">
        <w:trPr>
          <w:trHeight w:val="334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7B9E" w:rsidRPr="003345BE" w:rsidTr="00A52A09">
        <w:trPr>
          <w:trHeight w:val="357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7B9E" w:rsidRPr="003345BE" w:rsidTr="00A52A09">
        <w:trPr>
          <w:trHeight w:val="353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633,3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624,0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</w:tbl>
    <w:p w:rsidR="00D37B9E" w:rsidRPr="003345BE" w:rsidRDefault="00D37B9E" w:rsidP="003345BE">
      <w:pPr>
        <w:pStyle w:val="a4"/>
        <w:keepNext/>
        <w:keepLines/>
        <w:suppressAutoHyphens/>
        <w:ind w:firstLine="539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На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развитие системы социальной поддержки населения</w:t>
      </w:r>
      <w:r w:rsidRPr="003345BE">
        <w:rPr>
          <w:rFonts w:ascii="Times New Roman" w:hAnsi="Times New Roman" w:cs="Times New Roman"/>
          <w:sz w:val="28"/>
          <w:szCs w:val="28"/>
        </w:rPr>
        <w:t xml:space="preserve"> направлено 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935,86 млн. руб</w:t>
      </w:r>
      <w:r w:rsidRPr="003345BE">
        <w:rPr>
          <w:rFonts w:ascii="Times New Roman" w:hAnsi="Times New Roman" w:cs="Times New Roman"/>
          <w:sz w:val="28"/>
          <w:szCs w:val="28"/>
        </w:rPr>
        <w:t xml:space="preserve">. (98,4% от плана), из них: 322,96 млн.рублей (99,2%) федеральные средства; 589,5 млн.рублей (99,7% от плана) средства областного бюджета; 21,9 млн.рублей (65,96% от плана) средства местного бюджета; 1,5 млн.рублей (100% от плана) внебюджетные средства.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В городе действует целевая программа  «Качество жизни». Она  предусматривает адресную поддержку социально незащищенного населения, помощь инвалидам, проведение городских мероприятий в честь памятных и праздничных дат, проведение политики, ориентированной на повышение статуса семьи, профилактику безнадзорности в среде несовершеннолетних.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На 01.01.2017г. в г.Прокопьевске насчитывается 70240 получателей пенсии, 26187 прокопчан имеют звание «Ветеран труда», 1340 тружеников тыла, 66 участников войны, 29 узников и блокадников Ленинграда (13 узников, 16 блокадников Ленинграда), 28 человек, служивших в армии в годы ВОВ, но не принимавших участия в боевых действиях. За каждым участником войны закреплены сотрудники учреждений соцзащиты и социальные работники.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Количество проживающих в городе инвалидов – 23147, кроме того, 902 ребенка-инвалида.  Губернатором области принято решение об оказании особых знаков внимания гражданам, отмечающим  90, 95, 100 лет со дня рождения. Они получают единовременную адресную помощь в размере 5 тысяч рублей. Участникам  войны в 2015 году в юбилейные дни рождения вручалось по 10 тысяч рублей, их супругам - медаль «За веру и добро» и 5 тысяч рублей.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В 2016 году социальными работниками МБУ «Центр социального обслуживания населения» оказано 1 690,6 услуг. Предоставление социального обслуживания в полустационарной форме  оказано 52 027 услуг (42 960 гражданам, в т.ч. помощь гражданам, прибывшим из Украины).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В</w:t>
      </w:r>
      <w:r w:rsidRPr="003345BE">
        <w:rPr>
          <w:rFonts w:ascii="Times New Roman" w:hAnsi="Times New Roman" w:cs="Times New Roman"/>
          <w:sz w:val="28"/>
          <w:szCs w:val="28"/>
        </w:rPr>
        <w:t xml:space="preserve"> Социально-реабилитационном центре для несовершеннолетних «Алиса» получили социальные услуги 374 ребенка, находящихся</w:t>
      </w:r>
      <w:r w:rsidRPr="003345BE">
        <w:rPr>
          <w:rFonts w:ascii="Times New Roman" w:hAnsi="Times New Roman" w:cs="Times New Roman"/>
          <w:color w:val="000000"/>
          <w:sz w:val="28"/>
          <w:szCs w:val="28"/>
        </w:rPr>
        <w:t xml:space="preserve"> в трудной жизненной ситуации, из них </w:t>
      </w:r>
      <w:r w:rsidRPr="003345BE">
        <w:rPr>
          <w:rFonts w:ascii="Times New Roman" w:hAnsi="Times New Roman" w:cs="Times New Roman"/>
          <w:sz w:val="28"/>
          <w:szCs w:val="28"/>
        </w:rPr>
        <w:t xml:space="preserve">17 детей, находящиеся в социально опасном положении.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Основные направления работы с семьями: проведение социального патронажа, постановка родителей на учет как безработных и посещение ярмарок вакансий, содействие в лечении в учреждениях здравоохранения,  предоставление консультаций по разрешению конфликтных ситуаций между детьми и родителями.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В 2016 году получили компенсацию  на 403,7 млн.рублей по оплате за жилищно-коммунальные услуги 60,9 тыс.человек льготной категории (ветераны труда; реабилитированные лица; инвалиды и др).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   В развитие образовательной среды</w:t>
      </w:r>
      <w:r w:rsidRPr="003345BE">
        <w:rPr>
          <w:rFonts w:ascii="Times New Roman" w:hAnsi="Times New Roman" w:cs="Times New Roman"/>
          <w:sz w:val="28"/>
          <w:szCs w:val="28"/>
        </w:rPr>
        <w:t xml:space="preserve"> вложено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38,3</w:t>
      </w:r>
      <w:r w:rsidRPr="003345BE">
        <w:rPr>
          <w:rFonts w:ascii="Times New Roman" w:hAnsi="Times New Roman" w:cs="Times New Roman"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млн. рублей </w:t>
      </w:r>
      <w:r w:rsidRPr="003345BE">
        <w:rPr>
          <w:rFonts w:ascii="Times New Roman" w:hAnsi="Times New Roman" w:cs="Times New Roman"/>
          <w:sz w:val="28"/>
          <w:szCs w:val="28"/>
        </w:rPr>
        <w:t>(91,8% от плана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345BE">
        <w:rPr>
          <w:rFonts w:ascii="Times New Roman" w:hAnsi="Times New Roman" w:cs="Times New Roman"/>
          <w:sz w:val="28"/>
          <w:szCs w:val="28"/>
        </w:rPr>
        <w:t>, в том числе средств: областного бюджета – 10,65 млн.рублей, местного бюджета – 27,67 млн. рублей.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Значительные финансовые средства привлекаются на модернизацию материально-технической базы и ремонты образовательных учреждений.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В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>2016 году проведены ремонтные работы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>в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 xml:space="preserve">школе № 2 (пищеблок, замена дверных блоков, устройство полов, подвесных потолков,  сантехнические и электромонтажные работы), в школе №10 (спортзал), в школе №26 (спортзал, пищеблок, складские помещения, сантехнические и электромонтажные работы) в школе № 51 (ремонт крыльца, козырька, замена окон и дверных блоков), в школе № 70 (гардероб, кровля), в детском саду № 82 (кровля, замена козырька, двери), в детском саду № 101 (замена ограждения), в детском саду № 103 (кровля, монтаж вентиляции). В рамках обеспечения программы «Доступная среда» из средств областного бюджета поступили средства на детский сад № 2.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В рамках противопожарных мероприятий произведено обслуживание системы АПС и кнопок тревожной сигнализации. Проведен монтаж вентиляции д/с 103, ремонт эл. проводки в д/с 34, эл/монтажные работы в д/с 82, ремонт вентиляции шк. 26.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С целью создания оптимальных условий для осуществления воспитательно-образовательного процесса в соответствии с современными требованиями в 2016 г. проведен ремонт кровли, перекрытия д/с 82, замена ограждения д/с № 101, приобретена оргтехника, игровое оборудование, оборудование в пищеблок; установлено ограждение (д/с №№ 6,10,11,61,63,93, 95,101,110,111).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В рамках реализации программы «Доступная среда» в детском саду № 2  установлены пандусы, проведен ремонт санузлов, фойе; проведена замена входных дверей и проч.; приобретен комплект оборудования для детей с ОВЗ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5BE">
        <w:rPr>
          <w:rFonts w:ascii="Times New Roman" w:hAnsi="Times New Roman" w:cs="Times New Roman"/>
          <w:color w:val="000000"/>
          <w:sz w:val="28"/>
          <w:szCs w:val="28"/>
        </w:rPr>
        <w:t xml:space="preserve">     На постоянном контроле управления образования находятся вопросы устройства детей-сирот и детей, оставшихся без попечения родителей, в семьи граждан. В течение 2016 года в семьи было передано 197 детей: 141 ребенок – под опеку, 16 – в приемную семью, 21 – на усыновление, из них 3 ребенка российским усыновителям. Возвращено из учреждений в кровную семью 11 детей. На сегодняшний  день в городе создано 113 приемная семья, в которых воспитывается 184 детей, в том числе 13  приемных семей – многодетные.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На реализацию мероприятий по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сохранению и укреплению физического здоровья населения</w:t>
      </w:r>
      <w:r w:rsidRPr="003345BE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32,8</w:t>
      </w:r>
      <w:r w:rsidRPr="003345BE">
        <w:rPr>
          <w:rFonts w:ascii="Times New Roman" w:hAnsi="Times New Roman" w:cs="Times New Roman"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млн. руб., </w:t>
      </w:r>
      <w:r w:rsidRPr="003345BE">
        <w:rPr>
          <w:rFonts w:ascii="Times New Roman" w:hAnsi="Times New Roman" w:cs="Times New Roman"/>
          <w:sz w:val="28"/>
          <w:szCs w:val="28"/>
        </w:rPr>
        <w:t>в т.ч.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>30,9 млн.руб.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 xml:space="preserve"> из местного бюджета (88,3% от плана) и 1,8 млн.руб. внебюджетных средств (94,7% от плана).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napToGrid w:val="0"/>
          <w:sz w:val="28"/>
          <w:szCs w:val="28"/>
        </w:rPr>
        <w:t xml:space="preserve">      Основным направлением работы управления по ФКиС в 2016 году остается развитие массового спорта и физической культуры в нашем городе через расширение </w:t>
      </w:r>
      <w:r w:rsidRPr="003345BE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сети спортивных площадок в отдаленных районах города, организация их работы в летний и зимний периоды, а также строительство физкультурно-оздоровительного комплекса открытого типа на территории СРЦ «Солнечный».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Численность населения, систематически занимающегося физической культурой и спортом, составила 74552 человек (73066</w:t>
      </w:r>
      <w:r w:rsidR="00A52A09">
        <w:rPr>
          <w:rFonts w:ascii="Times New Roman" w:hAnsi="Times New Roman" w:cs="Times New Roman"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>чел. в 2015г.). Доля населения, систематически занимающегося  физической культурой  и спортом,  - 40%.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В связи с популяризацией скандинавской ходьбы в 2016г. приобретены комплекты палок для занятий этим видом спорта в количестве 963 комплекта. Для ДЮСШ № 3 приобретена спортивная форма для отделения регби в количестве - 12 комплектов, 12 комплектов парадных костюмов, 10 комплектов спортивной формы для отделения волейбола).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На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развитие культурно-досуговой сферы</w:t>
      </w:r>
      <w:r w:rsidRPr="003345BE">
        <w:rPr>
          <w:rFonts w:ascii="Times New Roman" w:hAnsi="Times New Roman" w:cs="Times New Roman"/>
          <w:sz w:val="28"/>
          <w:szCs w:val="28"/>
        </w:rPr>
        <w:t xml:space="preserve">  освоено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61,6 млн. рублей</w:t>
      </w:r>
      <w:r w:rsidRPr="003345BE">
        <w:rPr>
          <w:rFonts w:ascii="Times New Roman" w:hAnsi="Times New Roman" w:cs="Times New Roman"/>
          <w:sz w:val="28"/>
          <w:szCs w:val="28"/>
        </w:rPr>
        <w:t xml:space="preserve">, в том числе: 0,6 млн.рублей из областного бюджета (100% от плана), 58,1 млн.рублей из местного бюджета (94% от плана), 2,8 млн.рублей внебюджетных средств (90,3% от плана). 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В 2016 году по техническому перевооружению учреждений культуры освоено 29 млн.рублей. В ДК им. Маяковского произведен ремонт 2-го этажа и ремонт лестничных клеток на сумму 29 млн.рублей. из местного бюджета.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С целью повышения материально-технического обеспечения учреждений культуры приобретено светомузыкальное оборудование, мебель, установлена скульптурная композиция «Студенты». По данному направлению освоено 8,5 млн.руб. (90,4% от плана), в т.ч. 5,7 млн.руб. средства местного бюджета (90,5% от плана) и 2,8 млн.руб. внебюджетные средства (90,3% от плана).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В рамках реализации регионального национального проекта  «Культура» в 2016 году в городе прошло 9486 культурно-массовых мероприятий</w:t>
      </w:r>
      <w:r w:rsidRPr="003345BE">
        <w:rPr>
          <w:rFonts w:ascii="Times New Roman" w:hAnsi="Times New Roman" w:cs="Times New Roman"/>
          <w:color w:val="000000"/>
          <w:sz w:val="28"/>
          <w:szCs w:val="28"/>
        </w:rPr>
        <w:t xml:space="preserve">, в т.ч. </w:t>
      </w:r>
      <w:r w:rsidRPr="003345BE">
        <w:rPr>
          <w:rFonts w:ascii="Times New Roman" w:hAnsi="Times New Roman" w:cs="Times New Roman"/>
          <w:sz w:val="28"/>
          <w:szCs w:val="28"/>
        </w:rPr>
        <w:t>праздники для жителей отдаленных поселков Высокий, Усяты, Красная Горка, Зиминка, Березовая Роща, Ясная Поляна, Северный Маганак. На проведение мероприятий направлено 16,8 млн.руб.  из местного бюджета (128% от плана).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 Мероприятия по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содействию занятости населения профинансированы</w:t>
      </w:r>
      <w:r w:rsidRPr="003345BE">
        <w:rPr>
          <w:rFonts w:ascii="Times New Roman" w:hAnsi="Times New Roman" w:cs="Times New Roman"/>
          <w:sz w:val="28"/>
          <w:szCs w:val="28"/>
        </w:rPr>
        <w:t xml:space="preserve"> на                  120,4 млн.рублей (99% от плана), в том числе 89 млн.рублей - средства федерального бюджета,   31,4 млн.рублей - средства областного бюджета.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В рамках реализации  мероприятий  государственной программы Кемеровской области «Содействие занятости населения Кузбасса» на 2014-2017 годы и подпрограммы «Дополнительные мероприятия в области содействия занятости населения» на 2014-2018 годы по направлению «Содействие трудоустройству инвалидов» по  трудоустройству на  субсидированные из средств федерального и областного бюджета вновь созданные рабочие места трудоустроены 2 чел.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При содействии Центра занятости 6500 человек были обеспечены социальной поддержкой на период активного поиска работы, 205 человек участвовали в общественных работах.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Трудоустроено 145 чел., уволенных в связи с ликвидацией либо сокращением численности или штата работников, выпускников профессиональных образовательных организаций, трудоустроено 560 человек.  несовершеннолетних граждан в свободное от учебы время.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За 2016 год Администрацией города и Центром занятости населения города проведено 12 многопрофильных ярмарок вакансий и 17 мини-ярмарок вакансий, в которых приняли участие 251 предприятие и организация города, представившие 4145 </w:t>
      </w:r>
      <w:r w:rsidRPr="003345BE">
        <w:rPr>
          <w:rFonts w:ascii="Times New Roman" w:hAnsi="Times New Roman" w:cs="Times New Roman"/>
          <w:sz w:val="28"/>
          <w:szCs w:val="28"/>
        </w:rPr>
        <w:lastRenderedPageBreak/>
        <w:t xml:space="preserve">вакансий, 4090 граждан посетили  данные мероприятия, 544 участника ярмарок вакансий трудоустроены.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В  целях  информирования  населения,  работодателей по вопросам   занятости  и  увеличения  возможностей  трудоустройства  проведено 29 ярмарки  вакансий. Из 4090 человек,  трудоустроено 544 человек.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Уровень безработицы составил 2,0%</w:t>
      </w:r>
      <w:r w:rsidRPr="003345BE">
        <w:rPr>
          <w:rFonts w:ascii="Times New Roman" w:hAnsi="Times New Roman" w:cs="Times New Roman"/>
          <w:sz w:val="28"/>
          <w:szCs w:val="28"/>
        </w:rPr>
        <w:t xml:space="preserve"> (на 01.01.2016г. – 2,2%).</w:t>
      </w:r>
    </w:p>
    <w:tbl>
      <w:tblPr>
        <w:tblW w:w="5000" w:type="pct"/>
        <w:tblInd w:w="2" w:type="dxa"/>
        <w:tblLook w:val="0000"/>
      </w:tblPr>
      <w:tblGrid>
        <w:gridCol w:w="589"/>
        <w:gridCol w:w="4745"/>
        <w:gridCol w:w="1369"/>
        <w:gridCol w:w="1136"/>
        <w:gridCol w:w="1136"/>
        <w:gridCol w:w="1707"/>
      </w:tblGrid>
      <w:tr w:rsidR="00D37B9E" w:rsidRPr="003345BE" w:rsidTr="00A52A09">
        <w:trPr>
          <w:trHeight w:val="300"/>
          <w:tblHeader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исполнения</w:t>
            </w:r>
          </w:p>
        </w:tc>
      </w:tr>
      <w:tr w:rsidR="00D37B9E" w:rsidRPr="003345BE" w:rsidTr="00A52A09">
        <w:trPr>
          <w:trHeight w:val="345"/>
          <w:tblHeader/>
        </w:trPr>
        <w:tc>
          <w:tcPr>
            <w:tcW w:w="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B9E" w:rsidRPr="003345BE" w:rsidTr="00A52A09">
        <w:trPr>
          <w:trHeight w:val="270"/>
          <w:tblHeader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7B9E" w:rsidRPr="003345BE" w:rsidTr="00A52A09">
        <w:trPr>
          <w:trHeight w:val="399"/>
        </w:trPr>
        <w:tc>
          <w:tcPr>
            <w:tcW w:w="987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Обеспечение роста благосостояния и социального благополучия населения</w:t>
            </w:r>
          </w:p>
        </w:tc>
      </w:tr>
      <w:tr w:rsidR="00D37B9E" w:rsidRPr="003345BE" w:rsidTr="00A52A09">
        <w:trPr>
          <w:trHeight w:val="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Развитие системы социальной поддержки населения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951,4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935,9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D37B9E" w:rsidRPr="003345BE" w:rsidTr="00A52A09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D37B9E" w:rsidRPr="003345BE" w:rsidTr="00A52A09">
        <w:trPr>
          <w:trHeight w:val="4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молодежной политики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37B9E" w:rsidRPr="003345BE" w:rsidTr="00A52A09">
        <w:trPr>
          <w:trHeight w:val="4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физического здоровья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D37B9E" w:rsidRPr="003345BE" w:rsidTr="00A52A09">
        <w:trPr>
          <w:trHeight w:val="3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Развитие культурно-досуговой сферы (включая строительство ЗАГСа)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D37B9E" w:rsidRPr="003345BE" w:rsidTr="00A52A09">
        <w:trPr>
          <w:trHeight w:val="3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37B9E" w:rsidRPr="003345BE" w:rsidTr="00A52A09">
        <w:trPr>
          <w:trHeight w:val="7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направлению "Обеспечение роста благосостояния и социального благополучия населения"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млн.руб.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1218,1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1190,4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</w:tr>
      <w:tr w:rsidR="00D37B9E" w:rsidRPr="003345BE" w:rsidTr="00A52A0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 том числе   по источникам: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B9E" w:rsidRPr="003345BE" w:rsidTr="00A52A0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434,2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412,0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37B9E" w:rsidRPr="003345BE" w:rsidTr="00A52A0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615,5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632,8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D37B9E" w:rsidRPr="003345BE" w:rsidTr="00A52A0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162,3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37B9E" w:rsidRPr="003345BE" w:rsidTr="00A52A0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37B9E" w:rsidRPr="003345BE" w:rsidTr="00A52A0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внебюджетные  средства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pStyle w:val="ab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D37B9E" w:rsidRPr="003345BE" w:rsidRDefault="00D37B9E" w:rsidP="003345BE">
      <w:pPr>
        <w:pStyle w:val="a4"/>
        <w:keepNext/>
        <w:keepLines/>
        <w:suppressAutoHyphens/>
        <w:ind w:firstLine="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345B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345BE">
        <w:rPr>
          <w:rFonts w:ascii="Times New Roman" w:hAnsi="Times New Roman" w:cs="Times New Roman"/>
          <w:sz w:val="28"/>
          <w:szCs w:val="28"/>
        </w:rPr>
        <w:t xml:space="preserve"> В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инфраструктурное обеспечение высокого качества городской среды </w:t>
      </w:r>
      <w:r w:rsidRPr="003345BE">
        <w:rPr>
          <w:rFonts w:ascii="Times New Roman" w:hAnsi="Times New Roman" w:cs="Times New Roman"/>
          <w:sz w:val="28"/>
          <w:szCs w:val="28"/>
        </w:rPr>
        <w:t xml:space="preserve">вложено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2050,2 млн. рублей</w:t>
      </w:r>
      <w:r w:rsidRPr="003345BE">
        <w:rPr>
          <w:rFonts w:ascii="Times New Roman" w:hAnsi="Times New Roman" w:cs="Times New Roman"/>
          <w:sz w:val="28"/>
          <w:szCs w:val="28"/>
        </w:rPr>
        <w:t>, что составляет 93,4% от запланированного объема. Средства федерального бюджета составили 397,4 млн.рублей, областного бюджета – 172,8 млн.рублей, местного бюджета – 472,9 млн.рублей,  внебюджетные средства 1002,3 млн. рублей, собственные средства 4,8 млн.руб.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   На развитие градостроительства и инженерной инфраструктуры</w:t>
      </w:r>
      <w:r w:rsidRPr="003345BE">
        <w:rPr>
          <w:rFonts w:ascii="Times New Roman" w:hAnsi="Times New Roman" w:cs="Times New Roman"/>
          <w:sz w:val="28"/>
          <w:szCs w:val="28"/>
        </w:rPr>
        <w:t xml:space="preserve"> вложено 1622,5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млн. рублей </w:t>
      </w:r>
      <w:r w:rsidRPr="003345BE">
        <w:rPr>
          <w:rFonts w:ascii="Times New Roman" w:hAnsi="Times New Roman" w:cs="Times New Roman"/>
          <w:sz w:val="28"/>
          <w:szCs w:val="28"/>
        </w:rPr>
        <w:t>(92% от плана), в том числе: 397,4 млн.рублей -  из средств федерального бюджета, 156,5 млн.рублей - из областного бюджета, 66,5 млн.рублей - из местного бюджета,    1002,2 млн.рублей внебюджетных средств.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За 2016 год в городе введено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60,1 тыс.кв. метров</w:t>
      </w:r>
      <w:r w:rsidRPr="003345BE">
        <w:rPr>
          <w:rFonts w:ascii="Times New Roman" w:hAnsi="Times New Roman" w:cs="Times New Roman"/>
          <w:sz w:val="28"/>
          <w:szCs w:val="28"/>
        </w:rPr>
        <w:t xml:space="preserve"> - это 99,7% к 2015 году. Всего введено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1102 квартиры</w:t>
      </w:r>
      <w:r w:rsidRPr="003345BE">
        <w:rPr>
          <w:rFonts w:ascii="Times New Roman" w:hAnsi="Times New Roman" w:cs="Times New Roman"/>
          <w:sz w:val="28"/>
          <w:szCs w:val="28"/>
        </w:rPr>
        <w:t xml:space="preserve">, из них 295 квартир в многоквартирных жилых домах (26,8% или 11,5 тыс. кв. метров), 807 индивидуальных домов (48,6 тыс.кв.м).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В рамках реализации Федерального закона №185-ФЗ получили новое жилье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240 семей. </w:t>
      </w:r>
      <w:r w:rsidRPr="003345BE">
        <w:rPr>
          <w:rFonts w:ascii="Times New Roman" w:hAnsi="Times New Roman" w:cs="Times New Roman"/>
          <w:sz w:val="28"/>
          <w:szCs w:val="28"/>
        </w:rPr>
        <w:t xml:space="preserve">По программе  содействия переселяемым из ветхого жилья граждан в </w:t>
      </w:r>
      <w:r w:rsidRPr="003345BE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приобретении (строительстве) жилья взамен сносимого (программа ГУРШ) за 2016 год освоено 304,9 млн.руб. Переселено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169 семей</w:t>
      </w:r>
      <w:r w:rsidRPr="003345BE">
        <w:rPr>
          <w:rFonts w:ascii="Times New Roman" w:hAnsi="Times New Roman" w:cs="Times New Roman"/>
          <w:sz w:val="28"/>
          <w:szCs w:val="28"/>
        </w:rPr>
        <w:t>, приобретено 11,9 тыс.кв. м.   В 2017 году будет переселено еще 464 семей (по 185ФЗ-  363 семьи, по ГУРШ 101 семья).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3345BE">
        <w:rPr>
          <w:rFonts w:ascii="Times New Roman" w:hAnsi="Times New Roman" w:cs="Times New Roman"/>
          <w:kern w:val="1"/>
          <w:sz w:val="28"/>
          <w:szCs w:val="28"/>
        </w:rPr>
        <w:t xml:space="preserve">    На 1 жителя общая  площадь жилого фонда возросла </w:t>
      </w:r>
      <w:r w:rsidRPr="003345BE">
        <w:rPr>
          <w:rFonts w:ascii="Times New Roman" w:hAnsi="Times New Roman" w:cs="Times New Roman"/>
          <w:b/>
          <w:bCs/>
          <w:kern w:val="1"/>
          <w:sz w:val="28"/>
          <w:szCs w:val="28"/>
        </w:rPr>
        <w:t>с 25,27кв. м в 2015 году</w:t>
      </w:r>
      <w:r w:rsidRPr="003345B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b/>
          <w:bCs/>
          <w:kern w:val="1"/>
          <w:sz w:val="28"/>
          <w:szCs w:val="28"/>
        </w:rPr>
        <w:t>до 25,78 кв. м в 2016 году.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На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модернизацию объектов коммунальной инфраструктуры и поддержку жилищно-коммунального хозяйства</w:t>
      </w:r>
      <w:r w:rsidRPr="003345BE">
        <w:rPr>
          <w:rFonts w:ascii="Times New Roman" w:hAnsi="Times New Roman" w:cs="Times New Roman"/>
          <w:sz w:val="28"/>
          <w:szCs w:val="28"/>
        </w:rPr>
        <w:t xml:space="preserve"> в 2016 году направлено 132,2 млн.рублей, в том числе: из средств областного бюджета – 13,3 млн.рублей, местного бюджета – 14,8 млн.рублей, внебюджетных средств – 104,1 млн.рублей. Выполнены работы по водоснабжению, капитальному ремонту многоквартирных домов, модернизации объектов теплоснабжения.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На обслуживании жилищно-коммунального хозяйства находится 3,2 млн.м</w:t>
      </w:r>
      <w:r w:rsidRPr="003345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45BE">
        <w:rPr>
          <w:rFonts w:ascii="Times New Roman" w:hAnsi="Times New Roman" w:cs="Times New Roman"/>
          <w:sz w:val="28"/>
          <w:szCs w:val="28"/>
        </w:rPr>
        <w:t xml:space="preserve">  жилищного  фонда. Жилищный фонд города  и объекты соцкультбыта получают услуги по отоплению от 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78 котельных, в том числе  76 муниципальных, 2 ведомственных.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В 2016 году в котельных города выполнены работы капитального характера на  18 котельных, капитально отремонтировано 23 котла, в том числе: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- в котельной №6 выполнены работы по  ремонту котлов  КВТК №1 и №2, КЕ № 3, мазутной станции, багерных и сетевых насосов. Затраты составили   22 млн. руб.;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- в котельной № 67 (Санаторий «Прокопьевский») выполнены работы по ремонту 2-х котлов, полностью заменена насосная группа, смонтирована установка химводоподготовки, отремонтировано ШЗУ, выполнено строительство водовода 1,1км.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- в котельной №43 (п. Финский) заменено 3 котла, а на оставшихся выполнен ремонт.                     Выполнена замена 5 насосов на более энергоэффективные. Заменено 600 п.м. магистрального участка тепловой сети от котельной. Для снижения открытого водоразбора из системы отопления, выполнен монтаж трубопровода горячего водоснабжения к 12 жилым домам (500 чел.).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В рамках реализации Программы «Подготовка к зиме жилищно-коммунального хозяйства города Прокопьевска» произведена замена и ремонт ветхих водопроводных и канализационных  сетей. Заменено 3,4 км сетей, в том числе пр.Ленина,23-23а, Д=110мм; ул.Кучина,6, Д=110мм, ул.</w:t>
      </w:r>
      <w:r w:rsidR="00336B67" w:rsidRPr="003345BE">
        <w:rPr>
          <w:rFonts w:ascii="Times New Roman" w:hAnsi="Times New Roman" w:cs="Times New Roman"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>Проспектная, Д=500мм, ул.Российская (СТО), Д=400мм, район меллиорации, Д=250мм, главный канализационный коллектор 5 канал. бассейна Д=400мм и др.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В 2016 году за счет средств капитального ремонта в 190 подъездах жилых домов произведена замена 825 деревянных окон на пластиковые, в 37 подъездах восстановлено подъездное отопление, установлены 46 металлических подъездных козырьков.</w:t>
      </w:r>
      <w:r w:rsidRPr="003345BE">
        <w:rPr>
          <w:rFonts w:ascii="Times New Roman" w:hAnsi="Times New Roman" w:cs="Times New Roman"/>
          <w:sz w:val="28"/>
          <w:szCs w:val="28"/>
        </w:rPr>
        <w:tab/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По жилищному фонду города выполнен текущий ремонт 354 кровель общей площадью 53,2 тыс.м2. отремонтировано более 28,0 км межпанельных швов.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Во дворах жилищного фонда города 258 детских площадок, в том числе с начала 2016 года установлены 13 детских площадок для 21 жилого дома.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В 2016 году произведена замена 8 лифтов: пр.Строителей, 47/1(1), пр.Строителей, 47/2(1),ул.Институтская, 405(2), ул.Жолтовского,7(2), ул.Есенина, 78(2).</w:t>
      </w:r>
    </w:p>
    <w:p w:rsidR="00D37B9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52A09" w:rsidRPr="003345BE" w:rsidRDefault="00A52A09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lastRenderedPageBreak/>
        <w:t xml:space="preserve">     Для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улучшения внешнего благоустройства и содержания территории</w:t>
      </w:r>
      <w:r w:rsidRPr="003345BE">
        <w:rPr>
          <w:rFonts w:ascii="Times New Roman" w:hAnsi="Times New Roman" w:cs="Times New Roman"/>
          <w:sz w:val="28"/>
          <w:szCs w:val="28"/>
        </w:rPr>
        <w:t xml:space="preserve"> освоено   415,3 млн.рублей (100% от плана) из средств местного бюджета.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За 2016 год в рамках муниципальной программы «Благоустройство города» с целью создания благоприятных условий для проживания в коммунальном и в частном жилом секторе выполнен ямочный ремонт 90 км городских автодорог,  капитальный ремонт 1 км автодороги по ул.Союзной, произведен ремонт дворовых территорий 58-ми жилых домов, отремонтированы пешеходные аллеи на проспекте Строителей, в 4-ом микрорайоне, выполнено асфальтирование  пешеходных дорожек в Молодежном парке, построено и отремонтировано 3 км линий уличного освещения от ЦГБ до ул. Павлова (д/с № 88), ул.Штрекова</w:t>
      </w:r>
      <w:r w:rsidR="004463D6" w:rsidRPr="003345BE">
        <w:rPr>
          <w:rFonts w:ascii="Times New Roman" w:hAnsi="Times New Roman" w:cs="Times New Roman"/>
          <w:sz w:val="28"/>
          <w:szCs w:val="28"/>
        </w:rPr>
        <w:t>я</w:t>
      </w:r>
      <w:r w:rsidRPr="003345BE">
        <w:rPr>
          <w:rFonts w:ascii="Times New Roman" w:hAnsi="Times New Roman" w:cs="Times New Roman"/>
          <w:sz w:val="28"/>
          <w:szCs w:val="28"/>
        </w:rPr>
        <w:t xml:space="preserve">, ликвидировано 577 утечек холодной воды, заменено 8,8 км водопроводов, отремонтировано и очищено от снега 141,2 км дорог, отремонтировано 6 мостов, в том числе 3 пешеходных,  нанесено 166 км горизонтальной разметки, обозначено 187 пешеходных переходов, установлено 382 дорожных знака, оборудовано 2 комплекса искусственных неровностей, установлено 3 павильона ожидания. В рамках подпрограммы «Зеленое хозяйство» на территории города высажено более 16,5 тыс. деревьев и кустарников. </w:t>
      </w:r>
    </w:p>
    <w:tbl>
      <w:tblPr>
        <w:tblpPr w:leftFromText="180" w:rightFromText="180" w:vertAnchor="text" w:horzAnchor="margin" w:tblpY="764"/>
        <w:tblW w:w="5000" w:type="pct"/>
        <w:tblLook w:val="0000"/>
      </w:tblPr>
      <w:tblGrid>
        <w:gridCol w:w="562"/>
        <w:gridCol w:w="4948"/>
        <w:gridCol w:w="1311"/>
        <w:gridCol w:w="1038"/>
        <w:gridCol w:w="1115"/>
        <w:gridCol w:w="1708"/>
      </w:tblGrid>
      <w:tr w:rsidR="00D37B9E" w:rsidRPr="003345BE" w:rsidTr="00A52A09">
        <w:trPr>
          <w:trHeight w:val="285"/>
          <w:tblHeader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0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исполнения</w:t>
            </w:r>
          </w:p>
        </w:tc>
      </w:tr>
      <w:tr w:rsidR="00D37B9E" w:rsidRPr="003345BE" w:rsidTr="00A52A09">
        <w:trPr>
          <w:trHeight w:val="300"/>
          <w:tblHeader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B9E" w:rsidRPr="003345BE" w:rsidTr="00A52A09">
        <w:trPr>
          <w:trHeight w:val="255"/>
          <w:tblHeader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7B9E" w:rsidRPr="003345BE" w:rsidTr="00A52A09">
        <w:trPr>
          <w:trHeight w:val="308"/>
        </w:trPr>
        <w:tc>
          <w:tcPr>
            <w:tcW w:w="997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Инфраструктурное обеспечение высокого качества городской среды</w:t>
            </w:r>
          </w:p>
        </w:tc>
      </w:tr>
      <w:tr w:rsidR="00D37B9E" w:rsidRPr="003345BE" w:rsidTr="00A52A09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направлению  «Инфраструктурное обеспечение высокого качества городской среды»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2194,1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2050,2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93,4</w:t>
            </w:r>
          </w:p>
        </w:tc>
      </w:tr>
      <w:tr w:rsidR="00D37B9E" w:rsidRPr="003345BE" w:rsidTr="00A52A0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B9E" w:rsidRPr="003345BE" w:rsidTr="00A52A0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534,3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397,4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D37B9E" w:rsidRPr="003345BE" w:rsidTr="00A52A0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172,8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172,8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7B9E" w:rsidRPr="003345BE" w:rsidTr="00A52A0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479,8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472,9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</w:tr>
      <w:tr w:rsidR="00D37B9E" w:rsidRPr="003345BE" w:rsidTr="00A52A0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1002,3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1002,3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7B9E" w:rsidRPr="003345BE" w:rsidTr="00A52A0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B9E" w:rsidRPr="003345BE" w:rsidRDefault="00D37B9E" w:rsidP="003345B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Выполнена валка 2760 аварийных деревьев. 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345B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. Для улучшения состояния окружающей среды</w:t>
      </w:r>
      <w:r w:rsidR="00726A80" w:rsidRPr="003345BE">
        <w:rPr>
          <w:rFonts w:ascii="Times New Roman" w:hAnsi="Times New Roman" w:cs="Times New Roman"/>
          <w:sz w:val="28"/>
          <w:szCs w:val="28"/>
        </w:rPr>
        <w:t xml:space="preserve"> вложено 16,0</w:t>
      </w:r>
      <w:r w:rsidRPr="003345BE">
        <w:rPr>
          <w:rFonts w:ascii="Times New Roman" w:hAnsi="Times New Roman" w:cs="Times New Roman"/>
          <w:sz w:val="28"/>
          <w:szCs w:val="28"/>
        </w:rPr>
        <w:t xml:space="preserve"> млн. рублей собственных средств. Собственные средства предприятий направлены на охрану водных ресурсов, реконструкцию очистных сооружений сбрасываемых вод шахт, очистку русел рек Тайба, на рекультивацию земель, нарушенных горными работами шахт и разрезов, утилизацию и вывоз отходов производства (твердые бытовые отходы, ртутные лампы и др.), санитарную очистку территорий.</w:t>
      </w:r>
    </w:p>
    <w:p w:rsidR="00D37B9E" w:rsidRPr="003345BE" w:rsidRDefault="00D37B9E" w:rsidP="003345BE">
      <w:pPr>
        <w:pStyle w:val="ab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45BE">
        <w:rPr>
          <w:rFonts w:ascii="Times New Roman" w:hAnsi="Times New Roman" w:cs="Times New Roman"/>
          <w:b/>
          <w:bCs/>
          <w:sz w:val="28"/>
          <w:szCs w:val="28"/>
        </w:rPr>
        <w:t>В результате  реализации комплексной программы социально-экономического развития за 2008-2016 годы достигнуты результаты:</w:t>
      </w:r>
    </w:p>
    <w:p w:rsidR="00D37B9E" w:rsidRPr="003345BE" w:rsidRDefault="00D37B9E" w:rsidP="003345BE">
      <w:pPr>
        <w:keepNext/>
        <w:keepLines/>
        <w:numPr>
          <w:ilvl w:val="0"/>
          <w:numId w:val="17"/>
        </w:numPr>
        <w:tabs>
          <w:tab w:val="num" w:pos="0"/>
          <w:tab w:val="left" w:pos="900"/>
          <w:tab w:val="left" w:pos="12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lastRenderedPageBreak/>
        <w:t>создано 5641 новых рабочих места, в том числе 219 мест в 2016 году;</w:t>
      </w:r>
    </w:p>
    <w:p w:rsidR="00D37B9E" w:rsidRPr="003345BE" w:rsidRDefault="00D37B9E" w:rsidP="003345BE">
      <w:pPr>
        <w:keepNext/>
        <w:keepLines/>
        <w:numPr>
          <w:ilvl w:val="0"/>
          <w:numId w:val="17"/>
        </w:numPr>
        <w:tabs>
          <w:tab w:val="num" w:pos="0"/>
          <w:tab w:val="left" w:pos="900"/>
          <w:tab w:val="left" w:pos="12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среднемесячная заработная плана на крупных и средних предприятиях возросла с 14500 руб. в 2009 г. до 26987 рублей на 01.01.2017г.;</w:t>
      </w:r>
    </w:p>
    <w:p w:rsidR="00D37B9E" w:rsidRPr="003345BE" w:rsidRDefault="00D37B9E" w:rsidP="003345BE">
      <w:pPr>
        <w:keepNext/>
        <w:keepLines/>
        <w:numPr>
          <w:ilvl w:val="0"/>
          <w:numId w:val="17"/>
        </w:numPr>
        <w:tabs>
          <w:tab w:val="num" w:pos="0"/>
          <w:tab w:val="left" w:pos="900"/>
          <w:tab w:val="left" w:pos="12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переселено 2203 семьи из ветхого и аварийного жилья и по программе ГУРШ (в том числе 169 семей в 2016 году);</w:t>
      </w:r>
    </w:p>
    <w:p w:rsidR="00D37B9E" w:rsidRPr="003345BE" w:rsidRDefault="00D37B9E" w:rsidP="003345BE">
      <w:pPr>
        <w:keepNext/>
        <w:keepLines/>
        <w:numPr>
          <w:ilvl w:val="0"/>
          <w:numId w:val="17"/>
        </w:numPr>
        <w:tabs>
          <w:tab w:val="clear" w:pos="1080"/>
          <w:tab w:val="num" w:pos="0"/>
          <w:tab w:val="left" w:pos="284"/>
          <w:tab w:val="left" w:pos="851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число официально зарегистрированных безработных сократилось с  4,8 тыс.чел. в 2009 г. до 2,079 тыс чел. на 01.01.2017г.</w:t>
      </w:r>
    </w:p>
    <w:p w:rsidR="00D37B9E" w:rsidRPr="003345BE" w:rsidRDefault="00D37B9E" w:rsidP="003345BE">
      <w:pPr>
        <w:keepNext/>
        <w:keepLines/>
        <w:numPr>
          <w:ilvl w:val="0"/>
          <w:numId w:val="17"/>
        </w:numPr>
        <w:tabs>
          <w:tab w:val="clear" w:pos="1080"/>
          <w:tab w:val="num" w:pos="0"/>
          <w:tab w:val="left" w:pos="284"/>
          <w:tab w:val="left" w:pos="851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уровень зарегистрированной безработицы сократился с 3,7% в 2009 году, до 2,0% на 01.01.2017г.</w:t>
      </w:r>
    </w:p>
    <w:p w:rsidR="00D37B9E" w:rsidRPr="003345BE" w:rsidRDefault="00D37B9E" w:rsidP="003345BE">
      <w:pPr>
        <w:keepNext/>
        <w:keepLines/>
        <w:numPr>
          <w:ilvl w:val="0"/>
          <w:numId w:val="17"/>
        </w:numPr>
        <w:tabs>
          <w:tab w:val="num" w:pos="0"/>
          <w:tab w:val="left" w:pos="900"/>
          <w:tab w:val="left" w:pos="12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возросла доля малых предприятий в общегородском объеме отгруженных товаров собственного производства организаций с 19% в 2009г. до 28% на 01.01.2017;</w:t>
      </w:r>
    </w:p>
    <w:p w:rsidR="00D37B9E" w:rsidRPr="00561663" w:rsidRDefault="00D37B9E" w:rsidP="003345BE">
      <w:pPr>
        <w:keepNext/>
        <w:keepLines/>
        <w:numPr>
          <w:ilvl w:val="0"/>
          <w:numId w:val="17"/>
        </w:numPr>
        <w:tabs>
          <w:tab w:val="num" w:pos="0"/>
          <w:tab w:val="left" w:pos="900"/>
          <w:tab w:val="left" w:pos="12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>уровень монопрофильности (доля градообразующих предприятий в общегородском объеме отгруженных товаров) сократился с 70,3% в 2009</w:t>
      </w:r>
      <w:r w:rsidR="00561663">
        <w:rPr>
          <w:rFonts w:ascii="Times New Roman" w:hAnsi="Times New Roman" w:cs="Times New Roman"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>г.  до 55,9% на 01.01.2017</w:t>
      </w:r>
      <w:r w:rsidR="00A52A09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5000" w:type="pct"/>
        <w:jc w:val="center"/>
        <w:tblLayout w:type="fixed"/>
        <w:tblLook w:val="04A0"/>
      </w:tblPr>
      <w:tblGrid>
        <w:gridCol w:w="392"/>
        <w:gridCol w:w="5042"/>
        <w:gridCol w:w="998"/>
        <w:gridCol w:w="1266"/>
        <w:gridCol w:w="1170"/>
        <w:gridCol w:w="1814"/>
      </w:tblGrid>
      <w:tr w:rsidR="0089402C" w:rsidRPr="003345BE" w:rsidTr="00792F5A">
        <w:trPr>
          <w:trHeight w:val="383"/>
          <w:jc w:val="center"/>
        </w:trPr>
        <w:tc>
          <w:tcPr>
            <w:tcW w:w="39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43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исполнения</w:t>
            </w:r>
          </w:p>
        </w:tc>
      </w:tr>
      <w:tr w:rsidR="0089402C" w:rsidRPr="003345BE" w:rsidTr="00792F5A">
        <w:trPr>
          <w:trHeight w:val="300"/>
          <w:jc w:val="center"/>
        </w:trPr>
        <w:tc>
          <w:tcPr>
            <w:tcW w:w="3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402C" w:rsidRPr="003345BE" w:rsidTr="00792F5A">
        <w:trPr>
          <w:trHeight w:val="33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402C" w:rsidRPr="003345BE" w:rsidTr="00792F5A">
        <w:trPr>
          <w:trHeight w:val="79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по мероприятиям комплексной программы социально-экономического развития города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млн.руб.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4071,6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95,5</w:t>
            </w:r>
          </w:p>
        </w:tc>
      </w:tr>
      <w:tr w:rsidR="0089402C" w:rsidRPr="003345BE" w:rsidTr="00792F5A">
        <w:trPr>
          <w:trHeight w:val="345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 том числе   по источникам: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9402C" w:rsidRPr="003345BE" w:rsidTr="00792F5A">
        <w:trPr>
          <w:trHeight w:val="345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61663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977,6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818,5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</w:tr>
      <w:tr w:rsidR="0089402C" w:rsidRPr="003345BE" w:rsidTr="00792F5A">
        <w:trPr>
          <w:trHeight w:val="345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61663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788,8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806,1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</w:tr>
      <w:tr w:rsidR="0089402C" w:rsidRPr="003345BE" w:rsidTr="00792F5A">
        <w:trPr>
          <w:trHeight w:val="345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61663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642,2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612,8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89402C" w:rsidRPr="003345BE" w:rsidTr="00792F5A">
        <w:trPr>
          <w:trHeight w:val="345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61663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1006,6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402C" w:rsidRPr="003345BE" w:rsidTr="00792F5A">
        <w:trPr>
          <w:trHeight w:val="345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561663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656,1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646,3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89402C" w:rsidRPr="003345BE" w:rsidTr="00792F5A">
        <w:trPr>
          <w:trHeight w:val="33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по направлениям: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402C" w:rsidRPr="003345BE" w:rsidTr="00792F5A">
        <w:trPr>
          <w:trHeight w:val="525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направлению "I. Обеспечение роста экономического потенциала города"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1663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млн.</w:t>
            </w:r>
          </w:p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633,7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98,6</w:t>
            </w:r>
          </w:p>
        </w:tc>
      </w:tr>
      <w:tr w:rsidR="0089402C" w:rsidRPr="003345BE" w:rsidTr="00792F5A">
        <w:trPr>
          <w:trHeight w:val="255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 том числе   по источникам: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663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9402C" w:rsidRPr="003345BE" w:rsidTr="00792F5A">
        <w:trPr>
          <w:trHeight w:val="33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663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402C" w:rsidRPr="003345BE" w:rsidTr="00792F5A">
        <w:trPr>
          <w:trHeight w:val="33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663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402C" w:rsidRPr="003345BE" w:rsidTr="00792F5A">
        <w:trPr>
          <w:trHeight w:val="33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663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402C" w:rsidRPr="003345BE" w:rsidTr="00792F5A">
        <w:trPr>
          <w:trHeight w:val="33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663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633,3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624,0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89402C" w:rsidRPr="003345BE" w:rsidTr="00792F5A">
        <w:trPr>
          <w:trHeight w:val="825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направлению "II. Обеспечение роста благосостояния и социального благополучия населения"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61663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млн.</w:t>
            </w:r>
          </w:p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1190,4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97,7</w:t>
            </w:r>
          </w:p>
        </w:tc>
      </w:tr>
      <w:tr w:rsidR="0089402C" w:rsidRPr="003345BE" w:rsidTr="00792F5A">
        <w:trPr>
          <w:trHeight w:val="255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 том числе   по источникам: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9402C" w:rsidRPr="003345BE" w:rsidTr="00792F5A">
        <w:trPr>
          <w:trHeight w:val="33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663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434,2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412,0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</w:tr>
      <w:tr w:rsidR="0089402C" w:rsidRPr="003345BE" w:rsidTr="00792F5A">
        <w:trPr>
          <w:trHeight w:val="33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663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615,5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632,8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</w:tr>
      <w:tr w:rsidR="0089402C" w:rsidRPr="003345BE" w:rsidTr="00792F5A">
        <w:trPr>
          <w:trHeight w:val="33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663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162,3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89402C" w:rsidRPr="003345BE" w:rsidTr="00792F5A">
        <w:trPr>
          <w:trHeight w:val="33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663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</w:tr>
      <w:tr w:rsidR="0089402C" w:rsidRPr="003345BE" w:rsidTr="00792F5A">
        <w:trPr>
          <w:trHeight w:val="33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663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402C" w:rsidRPr="003345BE" w:rsidTr="00792F5A">
        <w:trPr>
          <w:trHeight w:val="84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направлению  "III. Инфраструктурное обеспечение высокого качества городской среды"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61663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млн.</w:t>
            </w:r>
          </w:p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2050,2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93,4</w:t>
            </w:r>
          </w:p>
        </w:tc>
      </w:tr>
      <w:tr w:rsidR="0089402C" w:rsidRPr="003345BE" w:rsidTr="00792F5A">
        <w:trPr>
          <w:trHeight w:val="405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 том числе   по источникам: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9402C" w:rsidRPr="003345BE" w:rsidTr="00792F5A">
        <w:trPr>
          <w:trHeight w:val="30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663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534,3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397,4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89402C" w:rsidRPr="003345BE" w:rsidTr="00792F5A">
        <w:trPr>
          <w:trHeight w:val="30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663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172,8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172,8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402C" w:rsidRPr="003345BE" w:rsidTr="00792F5A">
        <w:trPr>
          <w:trHeight w:val="30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479,8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472,9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</w:tr>
      <w:tr w:rsidR="0089402C" w:rsidRPr="003345BE" w:rsidTr="00792F5A">
        <w:trPr>
          <w:trHeight w:val="30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663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1002,3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402C" w:rsidRPr="003345BE" w:rsidTr="00792F5A">
        <w:trPr>
          <w:trHeight w:val="30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663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9402C" w:rsidRPr="003345BE" w:rsidTr="00792F5A">
        <w:trPr>
          <w:trHeight w:val="63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направлению "IV. Улучшение состояния окружающей среды"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61663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млн.</w:t>
            </w:r>
          </w:p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96,6</w:t>
            </w:r>
          </w:p>
        </w:tc>
      </w:tr>
      <w:tr w:rsidR="0089402C" w:rsidRPr="003345BE" w:rsidTr="00792F5A">
        <w:trPr>
          <w:trHeight w:val="39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в том числе   по источникам: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663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89402C" w:rsidRPr="003345BE" w:rsidRDefault="0089402C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9402C" w:rsidRPr="003345BE" w:rsidRDefault="0089402C" w:rsidP="003345B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92F5A" w:rsidRPr="003345BE" w:rsidTr="00792F5A">
        <w:trPr>
          <w:trHeight w:val="390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F5A" w:rsidRPr="003345BE" w:rsidRDefault="00792F5A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F5A" w:rsidRPr="003345BE" w:rsidRDefault="00792F5A" w:rsidP="003345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663" w:rsidRDefault="00792F5A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792F5A" w:rsidRPr="003345BE" w:rsidRDefault="00792F5A" w:rsidP="005616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F5A" w:rsidRPr="003345BE" w:rsidRDefault="00792F5A" w:rsidP="0087318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F5A" w:rsidRPr="003345BE" w:rsidRDefault="00792F5A" w:rsidP="0087318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792F5A" w:rsidRPr="003345BE" w:rsidRDefault="00792F5A" w:rsidP="0087318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792F5A" w:rsidRPr="003345BE" w:rsidTr="0087318C">
        <w:trPr>
          <w:trHeight w:val="1266"/>
          <w:jc w:val="center"/>
        </w:trPr>
        <w:tc>
          <w:tcPr>
            <w:tcW w:w="1068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F5A" w:rsidRPr="003345BE" w:rsidRDefault="00792F5A" w:rsidP="003345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E4782" w:rsidRDefault="00792F5A" w:rsidP="00792F5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92F5A" w:rsidRPr="003345BE" w:rsidRDefault="009E4782" w:rsidP="00792F5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92F5A" w:rsidRPr="00792F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Прокопьевского </w:t>
            </w:r>
            <w:r w:rsidR="00792F5A" w:rsidRPr="00792F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92F5A" w:rsidRPr="00792F5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Совета народных депутатов                               </w:t>
            </w:r>
            <w:r w:rsidR="00792F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792F5A" w:rsidRPr="00792F5A">
              <w:rPr>
                <w:rFonts w:ascii="Times New Roman" w:hAnsi="Times New Roman" w:cs="Times New Roman"/>
                <w:sz w:val="28"/>
                <w:szCs w:val="28"/>
              </w:rPr>
              <w:t>Н. А. Бурдина</w:t>
            </w:r>
          </w:p>
        </w:tc>
      </w:tr>
    </w:tbl>
    <w:p w:rsidR="00792F5A" w:rsidRDefault="00792F5A" w:rsidP="00792F5A">
      <w:pPr>
        <w:pStyle w:val="a4"/>
        <w:keepNext/>
        <w:keepLines/>
        <w:tabs>
          <w:tab w:val="left" w:pos="90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92F5A" w:rsidRDefault="00561663" w:rsidP="00792F5A">
      <w:pPr>
        <w:pStyle w:val="a4"/>
        <w:keepNext/>
        <w:keepLines/>
        <w:tabs>
          <w:tab w:val="left" w:pos="900"/>
        </w:tabs>
        <w:suppressAutoHyphens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  <w:r w:rsidR="00792F5A">
        <w:rPr>
          <w:rFonts w:ascii="Times New Roman" w:hAnsi="Times New Roman"/>
          <w:sz w:val="28"/>
          <w:szCs w:val="28"/>
        </w:rPr>
        <w:t xml:space="preserve"> </w:t>
      </w:r>
      <w:r w:rsidR="00792F5A" w:rsidRPr="003345BE">
        <w:rPr>
          <w:rFonts w:ascii="Times New Roman" w:hAnsi="Times New Roman"/>
          <w:sz w:val="28"/>
          <w:szCs w:val="28"/>
        </w:rPr>
        <w:t>к решению</w:t>
      </w:r>
    </w:p>
    <w:p w:rsidR="00792F5A" w:rsidRPr="003345BE" w:rsidRDefault="00792F5A" w:rsidP="00792F5A">
      <w:pPr>
        <w:pStyle w:val="a4"/>
        <w:keepNext/>
        <w:keepLines/>
        <w:tabs>
          <w:tab w:val="left" w:pos="900"/>
        </w:tabs>
        <w:suppressAutoHyphens/>
        <w:ind w:firstLine="539"/>
        <w:jc w:val="right"/>
        <w:rPr>
          <w:rFonts w:ascii="Times New Roman" w:hAnsi="Times New Roman"/>
          <w:sz w:val="28"/>
          <w:szCs w:val="28"/>
        </w:rPr>
      </w:pPr>
      <w:r w:rsidRPr="003345BE">
        <w:rPr>
          <w:rFonts w:ascii="Times New Roman" w:hAnsi="Times New Roman"/>
          <w:sz w:val="28"/>
          <w:szCs w:val="28"/>
        </w:rPr>
        <w:t xml:space="preserve"> Прокопьевского городского </w:t>
      </w:r>
    </w:p>
    <w:p w:rsidR="00792F5A" w:rsidRPr="003345BE" w:rsidRDefault="00792F5A" w:rsidP="00792F5A">
      <w:pPr>
        <w:keepNext/>
        <w:keepLines/>
        <w:suppressAutoHyphens/>
        <w:spacing w:after="0" w:line="240" w:lineRule="auto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3345BE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792F5A" w:rsidRDefault="00792F5A" w:rsidP="00561663">
      <w:pPr>
        <w:keepNext/>
        <w:keepLines/>
        <w:suppressAutoHyphens/>
        <w:spacing w:after="0" w:line="240" w:lineRule="auto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1663">
        <w:rPr>
          <w:rFonts w:ascii="Times New Roman" w:hAnsi="Times New Roman" w:cs="Times New Roman"/>
          <w:sz w:val="28"/>
          <w:szCs w:val="28"/>
        </w:rPr>
        <w:t xml:space="preserve">       о</w:t>
      </w:r>
      <w:r w:rsidRPr="003345BE">
        <w:rPr>
          <w:rFonts w:ascii="Times New Roman" w:hAnsi="Times New Roman" w:cs="Times New Roman"/>
          <w:sz w:val="28"/>
          <w:szCs w:val="28"/>
        </w:rPr>
        <w:t>т</w:t>
      </w:r>
      <w:r w:rsidR="0056166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5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1663">
        <w:rPr>
          <w:rFonts w:ascii="Times New Roman" w:hAnsi="Times New Roman" w:cs="Times New Roman"/>
          <w:sz w:val="28"/>
          <w:szCs w:val="28"/>
        </w:rPr>
        <w:t xml:space="preserve">  </w:t>
      </w:r>
      <w:r w:rsidRPr="003345BE">
        <w:rPr>
          <w:rFonts w:ascii="Times New Roman" w:hAnsi="Times New Roman" w:cs="Times New Roman"/>
          <w:sz w:val="28"/>
          <w:szCs w:val="28"/>
        </w:rPr>
        <w:t xml:space="preserve">№ </w:t>
      </w:r>
      <w:r w:rsidR="00561663">
        <w:rPr>
          <w:rFonts w:ascii="Times New Roman" w:hAnsi="Times New Roman" w:cs="Times New Roman"/>
          <w:sz w:val="28"/>
          <w:szCs w:val="28"/>
        </w:rPr>
        <w:t>421</w:t>
      </w:r>
    </w:p>
    <w:p w:rsidR="00792F5A" w:rsidRDefault="00792F5A" w:rsidP="00561663">
      <w:pPr>
        <w:keepNext/>
        <w:keepLines/>
        <w:suppressAutoHyphens/>
        <w:spacing w:after="0" w:line="240" w:lineRule="auto"/>
        <w:ind w:firstLine="5040"/>
        <w:jc w:val="right"/>
        <w:rPr>
          <w:rFonts w:ascii="Times New Roman" w:hAnsi="Times New Roman" w:cs="Times New Roman"/>
          <w:sz w:val="28"/>
          <w:szCs w:val="28"/>
        </w:rPr>
      </w:pPr>
    </w:p>
    <w:p w:rsidR="00792F5A" w:rsidRDefault="00792F5A" w:rsidP="00792F5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F5A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оценки эффективности реализации комплексной программы социально-экономического развития  муниципального образования </w:t>
      </w:r>
    </w:p>
    <w:p w:rsidR="00792F5A" w:rsidRPr="00792F5A" w:rsidRDefault="000C73C7" w:rsidP="00792F5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792F5A" w:rsidRPr="00792F5A">
        <w:rPr>
          <w:rFonts w:ascii="Times New Roman" w:hAnsi="Times New Roman" w:cs="Times New Roman"/>
          <w:b/>
          <w:bCs/>
          <w:sz w:val="28"/>
          <w:szCs w:val="28"/>
        </w:rPr>
        <w:t>Прокопьевск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городской округ</w:t>
      </w:r>
      <w:r w:rsidR="00792F5A" w:rsidRPr="00792F5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792F5A" w:rsidRPr="003345BE" w:rsidRDefault="00792F5A" w:rsidP="003345BE">
      <w:pPr>
        <w:pStyle w:val="a4"/>
        <w:keepNext/>
        <w:keepLines/>
        <w:tabs>
          <w:tab w:val="left" w:pos="900"/>
        </w:tabs>
        <w:suppressAutoHyphens/>
        <w:ind w:firstLine="53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912"/>
        <w:gridCol w:w="5387"/>
        <w:gridCol w:w="2729"/>
        <w:gridCol w:w="1654"/>
      </w:tblGrid>
      <w:tr w:rsidR="00792F5A" w:rsidRPr="00792F5A" w:rsidTr="00792F5A">
        <w:trPr>
          <w:trHeight w:val="6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PictureBullets"/>
            <w:r w:rsidRPr="0079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2016 год </w:t>
            </w:r>
          </w:p>
        </w:tc>
      </w:tr>
      <w:tr w:rsidR="00792F5A" w:rsidRPr="00792F5A" w:rsidTr="00792F5A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F5A" w:rsidRPr="00792F5A" w:rsidTr="00792F5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Финансово-экономические показатели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F5A" w:rsidRPr="00792F5A" w:rsidTr="00792F5A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Оборот организаций (крупные и средние организации) – суммарно по всем видам экономической деятельности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164437,9</w:t>
            </w:r>
          </w:p>
        </w:tc>
      </w:tr>
      <w:tr w:rsidR="00792F5A" w:rsidRPr="00792F5A" w:rsidTr="00792F5A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Динамика общего оборота организаций (крупные и средние организации) – суммарно по всем видам экономической деятельности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95,6</w:t>
            </w:r>
          </w:p>
        </w:tc>
      </w:tr>
      <w:tr w:rsidR="00792F5A" w:rsidRPr="00792F5A" w:rsidTr="00792F5A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(всеми категориями производителей)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85971,8</w:t>
            </w:r>
          </w:p>
        </w:tc>
      </w:tr>
      <w:tr w:rsidR="00792F5A" w:rsidRPr="00792F5A" w:rsidTr="00792F5A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общего объема отгруженных товаров собственного производства, выполненных работ и услуг (всеми категориями производителей)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95,8</w:t>
            </w:r>
          </w:p>
        </w:tc>
      </w:tr>
      <w:tr w:rsidR="00792F5A" w:rsidRPr="00792F5A" w:rsidTr="00792F5A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Удельный вес прибыльных крупных и средних  организаций в общем числе крупных и средних организаций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в % к общему числу крупных и средних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36,4</w:t>
            </w:r>
          </w:p>
        </w:tc>
      </w:tr>
      <w:tr w:rsidR="00792F5A" w:rsidRPr="00792F5A" w:rsidTr="00792F5A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88121,0</w:t>
            </w:r>
          </w:p>
        </w:tc>
      </w:tr>
      <w:tr w:rsidR="00792F5A" w:rsidRPr="00792F5A" w:rsidTr="00792F5A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Динамика общего оборота розничной торговли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92,3</w:t>
            </w:r>
          </w:p>
        </w:tc>
      </w:tr>
      <w:tr w:rsidR="00792F5A" w:rsidRPr="00792F5A" w:rsidTr="00792F5A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7861,3</w:t>
            </w:r>
          </w:p>
        </w:tc>
      </w:tr>
      <w:tr w:rsidR="00792F5A" w:rsidRPr="00792F5A" w:rsidTr="00792F5A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Динамика общего оборота общественного питания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104,7</w:t>
            </w:r>
          </w:p>
        </w:tc>
      </w:tr>
      <w:tr w:rsidR="00792F5A" w:rsidRPr="00792F5A" w:rsidTr="00792F5A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(за исключением бюджетных средств), всего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14530,99</w:t>
            </w:r>
          </w:p>
        </w:tc>
      </w:tr>
      <w:tr w:rsidR="00792F5A" w:rsidRPr="00792F5A" w:rsidTr="00792F5A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общего объема инвестиций в основной капитал (за исключением бюджетных средств), всего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89,7</w:t>
            </w:r>
          </w:p>
        </w:tc>
      </w:tr>
      <w:tr w:rsidR="00792F5A" w:rsidRPr="00792F5A" w:rsidTr="00792F5A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периода)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2F5A" w:rsidRPr="00792F5A" w:rsidTr="00792F5A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Удельный вес оборота малого бизнеса в общем объеме оборота организаций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792F5A" w:rsidRPr="00792F5A" w:rsidTr="00792F5A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Оборот малых предприятий на одного жителя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63569,4</w:t>
            </w:r>
          </w:p>
        </w:tc>
      </w:tr>
      <w:tr w:rsidR="00792F5A" w:rsidRPr="00792F5A" w:rsidTr="00792F5A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Объем собственных доходов местного бюджета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5946,0</w:t>
            </w:r>
          </w:p>
        </w:tc>
      </w:tr>
      <w:tr w:rsidR="00792F5A" w:rsidRPr="00792F5A" w:rsidTr="00792F5A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Налоговые поступления в местный бюджет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душу населения,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4322,4</w:t>
            </w:r>
          </w:p>
        </w:tc>
      </w:tr>
      <w:tr w:rsidR="00792F5A" w:rsidRPr="00792F5A" w:rsidTr="00792F5A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налоговых доходов местного бюджета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98,0</w:t>
            </w:r>
          </w:p>
        </w:tc>
      </w:tr>
      <w:tr w:rsidR="00792F5A" w:rsidRPr="00792F5A" w:rsidTr="00792F5A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Динамика неналоговых доходов местного бюджета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92,4</w:t>
            </w:r>
          </w:p>
        </w:tc>
      </w:tr>
      <w:tr w:rsidR="00792F5A" w:rsidRPr="00792F5A" w:rsidTr="00792F5A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 ((доходы - расходы)/расходы)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-0,05</w:t>
            </w:r>
          </w:p>
        </w:tc>
      </w:tr>
      <w:tr w:rsidR="00792F5A" w:rsidRPr="00792F5A" w:rsidTr="00792F5A">
        <w:trPr>
          <w:trHeight w:val="5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Медико-экологические показатели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F5A" w:rsidRPr="00792F5A" w:rsidTr="00792F5A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98,96</w:t>
            </w:r>
          </w:p>
        </w:tc>
      </w:tr>
      <w:tr w:rsidR="00792F5A" w:rsidRPr="00792F5A" w:rsidTr="00792F5A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 xml:space="preserve">Число родившихся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1000 населения, человек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792F5A" w:rsidRPr="00792F5A" w:rsidTr="00792F5A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Число умерших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1000 населения, человек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15,7</w:t>
            </w:r>
          </w:p>
        </w:tc>
      </w:tr>
      <w:tr w:rsidR="00792F5A" w:rsidRPr="00792F5A" w:rsidTr="00792F5A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естественного прироста населения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1000 населения, человек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-5,2</w:t>
            </w:r>
          </w:p>
        </w:tc>
      </w:tr>
      <w:tr w:rsidR="00792F5A" w:rsidRPr="00792F5A" w:rsidTr="00792F5A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Число детей, умерших в возрасте  до 1 года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1000 родившихся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9,6 (20чел.)</w:t>
            </w:r>
          </w:p>
        </w:tc>
      </w:tr>
      <w:tr w:rsidR="00792F5A" w:rsidRPr="00792F5A" w:rsidTr="00792F5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Материнская смертность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100 тыс. человек, родившихся живыми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92F5A" w:rsidRPr="00792F5A" w:rsidTr="00792F5A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Число заболеваний, зарегистрированных у больных с впервые установленным диагнозом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1000 населения, ед.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873</w:t>
            </w:r>
          </w:p>
        </w:tc>
      </w:tr>
      <w:tr w:rsidR="00792F5A" w:rsidRPr="00792F5A" w:rsidTr="00792F5A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Уровень госпитализации на 100 жителей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17,74</w:t>
            </w:r>
          </w:p>
        </w:tc>
      </w:tr>
      <w:tr w:rsidR="00792F5A" w:rsidRPr="00792F5A" w:rsidTr="00792F5A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продолжительность временной нетрудоспособности в связи с заболеванием в расчете </w:t>
            </w:r>
            <w:r w:rsidRPr="0079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одного работающего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792F5A" w:rsidRPr="00792F5A" w:rsidTr="00792F5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материального благосостояния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F5A" w:rsidRPr="00792F5A" w:rsidTr="00792F5A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Реальная среднемесячная начисленная заработная плата (по крупным и средним организациям)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</w:tr>
      <w:tr w:rsidR="00792F5A" w:rsidRPr="00792F5A" w:rsidTr="00792F5A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Реальные денежные доходы населения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93,5</w:t>
            </w:r>
          </w:p>
        </w:tc>
      </w:tr>
      <w:tr w:rsidR="00792F5A" w:rsidRPr="00792F5A" w:rsidTr="00792F5A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 муниципального образования, всего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25,78</w:t>
            </w:r>
          </w:p>
        </w:tc>
      </w:tr>
      <w:tr w:rsidR="00792F5A" w:rsidRPr="00792F5A" w:rsidTr="00792F5A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 муниципального образования, в том числе введенная в действие за год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</w:tr>
      <w:tr w:rsidR="00792F5A" w:rsidRPr="00792F5A" w:rsidTr="00792F5A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средней цены одного квадратного метра общей площади на первичном рынке жилья к среднедушевым доходам населения в муниципальном образовании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1,96</w:t>
            </w:r>
          </w:p>
        </w:tc>
      </w:tr>
      <w:tr w:rsidR="00792F5A" w:rsidRPr="00792F5A" w:rsidTr="00792F5A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средней цены одного квадратного метра общей площади на вторичном рынке жилья к среднедушевым доходам населения в муниципальном образовании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1,73</w:t>
            </w:r>
          </w:p>
        </w:tc>
      </w:tr>
      <w:tr w:rsidR="00792F5A" w:rsidRPr="00792F5A" w:rsidTr="00792F5A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Удельный вес жилищного фонда (в городской и сельской местности),   обеспеченного горячим водоснабжением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59,50</w:t>
            </w:r>
          </w:p>
        </w:tc>
      </w:tr>
      <w:tr w:rsidR="00792F5A" w:rsidRPr="00792F5A" w:rsidTr="00792F5A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жилищного фонда (в городской и сельской местности),   обеспеченного отоплением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76,20</w:t>
            </w:r>
          </w:p>
        </w:tc>
      </w:tr>
      <w:tr w:rsidR="00792F5A" w:rsidRPr="00792F5A" w:rsidTr="00792F5A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Удельный вес жилищного фонда (в городской и сельской местности),   обеспеченного канализацией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76,03</w:t>
            </w:r>
          </w:p>
        </w:tc>
      </w:tr>
      <w:tr w:rsidR="00792F5A" w:rsidRPr="00792F5A" w:rsidTr="00792F5A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легковых автомобилей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1000 населения, шт.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</w:tr>
      <w:tr w:rsidR="00792F5A" w:rsidRPr="00792F5A" w:rsidTr="00792F5A">
        <w:trPr>
          <w:trHeight w:val="1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92F5A" w:rsidRPr="00792F5A" w:rsidTr="00792F5A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развития социально ориентированного общества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F5A" w:rsidRPr="00792F5A" w:rsidTr="00792F5A">
        <w:trPr>
          <w:trHeight w:val="10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10,7</w:t>
            </w:r>
          </w:p>
        </w:tc>
      </w:tr>
      <w:tr w:rsidR="00792F5A" w:rsidRPr="00792F5A" w:rsidTr="00792F5A">
        <w:trPr>
          <w:trHeight w:val="19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99,5</w:t>
            </w:r>
          </w:p>
        </w:tc>
      </w:tr>
      <w:tr w:rsidR="00792F5A" w:rsidRPr="00792F5A" w:rsidTr="00792F5A">
        <w:trPr>
          <w:trHeight w:val="12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85,1</w:t>
            </w:r>
          </w:p>
        </w:tc>
      </w:tr>
      <w:tr w:rsidR="00792F5A" w:rsidRPr="00792F5A" w:rsidTr="00792F5A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библиотечного фонда общедоступных библиотек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единиц на 1000 населения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2748</w:t>
            </w:r>
          </w:p>
        </w:tc>
      </w:tr>
      <w:tr w:rsidR="00792F5A" w:rsidRPr="00792F5A" w:rsidTr="00792F5A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792F5A" w:rsidRPr="00792F5A" w:rsidTr="00792F5A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Число детей, оставшихся без попечения родителей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детей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</w:tr>
      <w:tr w:rsidR="00792F5A" w:rsidRPr="00792F5A" w:rsidTr="00792F5A">
        <w:trPr>
          <w:trHeight w:val="22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Число детей, оставшихся без попечения родителей,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 на воспитание в семью, к людям, не состоящим в родственных отношениях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 от оставшихся без попечения родителей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96,9</w:t>
            </w:r>
          </w:p>
        </w:tc>
      </w:tr>
      <w:tr w:rsidR="00792F5A" w:rsidRPr="00792F5A" w:rsidTr="00792F5A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преступлений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на 10000 населения, ед.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165,0</w:t>
            </w:r>
          </w:p>
        </w:tc>
      </w:tr>
      <w:tr w:rsidR="00792F5A" w:rsidRPr="00792F5A" w:rsidTr="00792F5A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Доля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5A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792F5A" w:rsidRPr="00792F5A" w:rsidTr="00792F5A">
        <w:trPr>
          <w:trHeight w:val="975"/>
        </w:trPr>
        <w:tc>
          <w:tcPr>
            <w:tcW w:w="12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F5A" w:rsidRPr="00792F5A" w:rsidRDefault="00792F5A" w:rsidP="00792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F5A">
              <w:rPr>
                <w:rFonts w:ascii="Times New Roman" w:hAnsi="Times New Roman" w:cs="Times New Roman"/>
                <w:sz w:val="28"/>
                <w:szCs w:val="28"/>
              </w:rPr>
              <w:t xml:space="preserve">     Председатель Прокопьевского </w:t>
            </w:r>
            <w:r w:rsidRPr="00792F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Совета народных депутатов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792F5A">
              <w:rPr>
                <w:rFonts w:ascii="Times New Roman" w:hAnsi="Times New Roman" w:cs="Times New Roman"/>
                <w:sz w:val="28"/>
                <w:szCs w:val="28"/>
              </w:rPr>
              <w:t>Н. А. Бурдина</w:t>
            </w:r>
          </w:p>
        </w:tc>
      </w:tr>
    </w:tbl>
    <w:bookmarkEnd w:id="0"/>
    <w:p w:rsidR="00D37B9E" w:rsidRPr="00792F5A" w:rsidRDefault="00792F5A" w:rsidP="003345B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D37B9E" w:rsidRPr="00792F5A" w:rsidSect="00336B67">
      <w:headerReference w:type="default" r:id="rId8"/>
      <w:pgSz w:w="11906" w:h="16838"/>
      <w:pgMar w:top="426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56D" w:rsidRDefault="00F8756D" w:rsidP="00C26A09">
      <w:pPr>
        <w:spacing w:after="0" w:line="240" w:lineRule="auto"/>
      </w:pPr>
      <w:r>
        <w:separator/>
      </w:r>
    </w:p>
  </w:endnote>
  <w:endnote w:type="continuationSeparator" w:id="1">
    <w:p w:rsidR="00F8756D" w:rsidRDefault="00F8756D" w:rsidP="00C2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56D" w:rsidRDefault="00F8756D" w:rsidP="00C26A09">
      <w:pPr>
        <w:spacing w:after="0" w:line="240" w:lineRule="auto"/>
      </w:pPr>
      <w:r>
        <w:separator/>
      </w:r>
    </w:p>
  </w:footnote>
  <w:footnote w:type="continuationSeparator" w:id="1">
    <w:p w:rsidR="00F8756D" w:rsidRDefault="00F8756D" w:rsidP="00C2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8C" w:rsidRDefault="001534B4" w:rsidP="00634B9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318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259E">
      <w:rPr>
        <w:rStyle w:val="a8"/>
        <w:noProof/>
      </w:rPr>
      <w:t>3</w:t>
    </w:r>
    <w:r>
      <w:rPr>
        <w:rStyle w:val="a8"/>
      </w:rPr>
      <w:fldChar w:fldCharType="end"/>
    </w:r>
  </w:p>
  <w:p w:rsidR="0087318C" w:rsidRDefault="0087318C" w:rsidP="00634B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32E47"/>
    <w:multiLevelType w:val="hybridMultilevel"/>
    <w:tmpl w:val="F966504E"/>
    <w:lvl w:ilvl="0" w:tplc="CA408348">
      <w:start w:val="1"/>
      <w:numFmt w:val="bullet"/>
      <w:lvlText w:val=""/>
      <w:lvlJc w:val="righ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BF0834"/>
    <w:multiLevelType w:val="hybridMultilevel"/>
    <w:tmpl w:val="B4AA6BA0"/>
    <w:lvl w:ilvl="0" w:tplc="CEF8BEE6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cs="Wingdings" w:hint="default"/>
      </w:rPr>
    </w:lvl>
  </w:abstractNum>
  <w:abstractNum w:abstractNumId="4">
    <w:nsid w:val="04014A1E"/>
    <w:multiLevelType w:val="hybridMultilevel"/>
    <w:tmpl w:val="B8CE644E"/>
    <w:lvl w:ilvl="0" w:tplc="CEF8BE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06C56589"/>
    <w:multiLevelType w:val="multilevel"/>
    <w:tmpl w:val="01F08BAA"/>
    <w:lvl w:ilvl="0">
      <w:start w:val="1"/>
      <w:numFmt w:val="bullet"/>
      <w:lvlText w:val=""/>
      <w:lvlJc w:val="left"/>
      <w:pPr>
        <w:tabs>
          <w:tab w:val="num" w:pos="935"/>
        </w:tabs>
        <w:ind w:left="992" w:hanging="284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cs="Wingdings" w:hint="default"/>
      </w:rPr>
    </w:lvl>
  </w:abstractNum>
  <w:abstractNum w:abstractNumId="6">
    <w:nsid w:val="08763D70"/>
    <w:multiLevelType w:val="hybridMultilevel"/>
    <w:tmpl w:val="438A67D6"/>
    <w:lvl w:ilvl="0" w:tplc="CEF8BE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FBB1E04"/>
    <w:multiLevelType w:val="hybridMultilevel"/>
    <w:tmpl w:val="8A0098EA"/>
    <w:lvl w:ilvl="0" w:tplc="CEF8BE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8">
    <w:nsid w:val="14937A8D"/>
    <w:multiLevelType w:val="hybridMultilevel"/>
    <w:tmpl w:val="A25C11A8"/>
    <w:lvl w:ilvl="0" w:tplc="CEF8B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DF0B73"/>
    <w:multiLevelType w:val="multilevel"/>
    <w:tmpl w:val="0419001D"/>
    <w:styleLink w:val="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7A435A0"/>
    <w:multiLevelType w:val="hybridMultilevel"/>
    <w:tmpl w:val="D4D47754"/>
    <w:lvl w:ilvl="0" w:tplc="CEF8BE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cs="Wingdings" w:hint="default"/>
      </w:rPr>
    </w:lvl>
  </w:abstractNum>
  <w:abstractNum w:abstractNumId="11">
    <w:nsid w:val="21102902"/>
    <w:multiLevelType w:val="hybridMultilevel"/>
    <w:tmpl w:val="C4BAA1C4"/>
    <w:lvl w:ilvl="0" w:tplc="7870C8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DD0592"/>
    <w:multiLevelType w:val="hybridMultilevel"/>
    <w:tmpl w:val="F9CA78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965A5"/>
    <w:multiLevelType w:val="hybridMultilevel"/>
    <w:tmpl w:val="7D7ECBEC"/>
    <w:lvl w:ilvl="0" w:tplc="CEF8BE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C84E7C"/>
    <w:multiLevelType w:val="hybridMultilevel"/>
    <w:tmpl w:val="3C2E0D3E"/>
    <w:lvl w:ilvl="0" w:tplc="7B444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1F6360F"/>
    <w:multiLevelType w:val="hybridMultilevel"/>
    <w:tmpl w:val="3A985158"/>
    <w:lvl w:ilvl="0" w:tplc="CEF8BE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49894335"/>
    <w:multiLevelType w:val="hybridMultilevel"/>
    <w:tmpl w:val="FAEA8AE0"/>
    <w:lvl w:ilvl="0" w:tplc="CEF8BEE6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3C45AE3"/>
    <w:multiLevelType w:val="hybridMultilevel"/>
    <w:tmpl w:val="01F08BAA"/>
    <w:lvl w:ilvl="0" w:tplc="AE848278">
      <w:start w:val="1"/>
      <w:numFmt w:val="bullet"/>
      <w:lvlText w:val=""/>
      <w:lvlJc w:val="left"/>
      <w:pPr>
        <w:tabs>
          <w:tab w:val="num" w:pos="935"/>
        </w:tabs>
        <w:ind w:left="992" w:hanging="284"/>
      </w:pPr>
      <w:rPr>
        <w:rFonts w:ascii="Symbol" w:hAnsi="Symbol" w:cs="Symbol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cs="Wingdings" w:hint="default"/>
      </w:rPr>
    </w:lvl>
  </w:abstractNum>
  <w:abstractNum w:abstractNumId="18">
    <w:nsid w:val="5B7D078B"/>
    <w:multiLevelType w:val="hybridMultilevel"/>
    <w:tmpl w:val="88DCCC7E"/>
    <w:lvl w:ilvl="0" w:tplc="29923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FC4F59"/>
    <w:multiLevelType w:val="hybridMultilevel"/>
    <w:tmpl w:val="FB6C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A82606A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D4C3C"/>
    <w:multiLevelType w:val="hybridMultilevel"/>
    <w:tmpl w:val="9DD8EEB4"/>
    <w:lvl w:ilvl="0" w:tplc="CEF8BE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715C30C2"/>
    <w:multiLevelType w:val="hybridMultilevel"/>
    <w:tmpl w:val="44F25F28"/>
    <w:lvl w:ilvl="0" w:tplc="CEF8BE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2">
    <w:nsid w:val="71D00478"/>
    <w:multiLevelType w:val="multilevel"/>
    <w:tmpl w:val="0E02DC50"/>
    <w:styleLink w:val="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3196309"/>
    <w:multiLevelType w:val="hybridMultilevel"/>
    <w:tmpl w:val="147C5868"/>
    <w:lvl w:ilvl="0" w:tplc="CEF8BEE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27"/>
        </w:tabs>
        <w:ind w:left="81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47"/>
        </w:tabs>
        <w:ind w:left="88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67"/>
        </w:tabs>
        <w:ind w:left="9567" w:hanging="360"/>
      </w:pPr>
      <w:rPr>
        <w:rFonts w:ascii="Wingdings" w:hAnsi="Wingdings" w:cs="Wingdings" w:hint="default"/>
      </w:rPr>
    </w:lvl>
  </w:abstractNum>
  <w:abstractNum w:abstractNumId="24">
    <w:nsid w:val="74941C6D"/>
    <w:multiLevelType w:val="hybridMultilevel"/>
    <w:tmpl w:val="85CA32FC"/>
    <w:lvl w:ilvl="0" w:tplc="CEF8BEE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5">
    <w:nsid w:val="78C60CF5"/>
    <w:multiLevelType w:val="hybridMultilevel"/>
    <w:tmpl w:val="8C947DD8"/>
    <w:lvl w:ilvl="0" w:tplc="7870C8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9C00FE2"/>
    <w:multiLevelType w:val="hybridMultilevel"/>
    <w:tmpl w:val="F4DC5052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7FA07F28"/>
    <w:multiLevelType w:val="hybridMultilevel"/>
    <w:tmpl w:val="CFB290F0"/>
    <w:lvl w:ilvl="0" w:tplc="CEF8BEE6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2"/>
  </w:num>
  <w:num w:numId="3">
    <w:abstractNumId w:val="27"/>
  </w:num>
  <w:num w:numId="4">
    <w:abstractNumId w:val="16"/>
  </w:num>
  <w:num w:numId="5">
    <w:abstractNumId w:val="1"/>
  </w:num>
  <w:num w:numId="6">
    <w:abstractNumId w:val="23"/>
  </w:num>
  <w:num w:numId="7">
    <w:abstractNumId w:val="24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  <w:num w:numId="12">
    <w:abstractNumId w:val="13"/>
  </w:num>
  <w:num w:numId="13">
    <w:abstractNumId w:val="17"/>
  </w:num>
  <w:num w:numId="14">
    <w:abstractNumId w:val="5"/>
  </w:num>
  <w:num w:numId="15">
    <w:abstractNumId w:val="10"/>
  </w:num>
  <w:num w:numId="16">
    <w:abstractNumId w:val="8"/>
  </w:num>
  <w:num w:numId="17">
    <w:abstractNumId w:val="21"/>
  </w:num>
  <w:num w:numId="18">
    <w:abstractNumId w:val="4"/>
  </w:num>
  <w:num w:numId="19">
    <w:abstractNumId w:val="18"/>
  </w:num>
  <w:num w:numId="20">
    <w:abstractNumId w:val="3"/>
  </w:num>
  <w:num w:numId="21">
    <w:abstractNumId w:val="20"/>
  </w:num>
  <w:num w:numId="22">
    <w:abstractNumId w:val="15"/>
  </w:num>
  <w:num w:numId="23">
    <w:abstractNumId w:val="26"/>
  </w:num>
  <w:num w:numId="24">
    <w:abstractNumId w:val="14"/>
  </w:num>
  <w:num w:numId="25">
    <w:abstractNumId w:val="19"/>
  </w:num>
  <w:num w:numId="26">
    <w:abstractNumId w:val="25"/>
  </w:num>
  <w:num w:numId="27">
    <w:abstractNumId w:val="1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102"/>
    <w:rsid w:val="000122A3"/>
    <w:rsid w:val="000400CD"/>
    <w:rsid w:val="00093A6C"/>
    <w:rsid w:val="000B1A4C"/>
    <w:rsid w:val="000B7B47"/>
    <w:rsid w:val="000C73C7"/>
    <w:rsid w:val="000D7E14"/>
    <w:rsid w:val="000E353E"/>
    <w:rsid w:val="00133922"/>
    <w:rsid w:val="00143D59"/>
    <w:rsid w:val="001534B4"/>
    <w:rsid w:val="00170073"/>
    <w:rsid w:val="001B1151"/>
    <w:rsid w:val="001C36A2"/>
    <w:rsid w:val="001D2EA7"/>
    <w:rsid w:val="001E0664"/>
    <w:rsid w:val="001E28A8"/>
    <w:rsid w:val="001E4B7E"/>
    <w:rsid w:val="001F6579"/>
    <w:rsid w:val="002016E7"/>
    <w:rsid w:val="00235397"/>
    <w:rsid w:val="00252F06"/>
    <w:rsid w:val="00253694"/>
    <w:rsid w:val="00271860"/>
    <w:rsid w:val="00285E15"/>
    <w:rsid w:val="002D7768"/>
    <w:rsid w:val="00303476"/>
    <w:rsid w:val="0031596F"/>
    <w:rsid w:val="00327A52"/>
    <w:rsid w:val="003345BE"/>
    <w:rsid w:val="00336B67"/>
    <w:rsid w:val="003476CF"/>
    <w:rsid w:val="00363663"/>
    <w:rsid w:val="00380D77"/>
    <w:rsid w:val="00397DC1"/>
    <w:rsid w:val="003B52F5"/>
    <w:rsid w:val="003D5DE3"/>
    <w:rsid w:val="003D6674"/>
    <w:rsid w:val="003F145A"/>
    <w:rsid w:val="00400151"/>
    <w:rsid w:val="004463D6"/>
    <w:rsid w:val="004609AA"/>
    <w:rsid w:val="004626AC"/>
    <w:rsid w:val="0047098E"/>
    <w:rsid w:val="004A3B42"/>
    <w:rsid w:val="004A3F64"/>
    <w:rsid w:val="004A7BB7"/>
    <w:rsid w:val="004B4A21"/>
    <w:rsid w:val="004C357F"/>
    <w:rsid w:val="004C783B"/>
    <w:rsid w:val="004E0C66"/>
    <w:rsid w:val="004F7572"/>
    <w:rsid w:val="00515D11"/>
    <w:rsid w:val="00521227"/>
    <w:rsid w:val="005371F2"/>
    <w:rsid w:val="00552EA5"/>
    <w:rsid w:val="00557619"/>
    <w:rsid w:val="00561663"/>
    <w:rsid w:val="00577D16"/>
    <w:rsid w:val="0058105B"/>
    <w:rsid w:val="005C2252"/>
    <w:rsid w:val="005C5D39"/>
    <w:rsid w:val="005D0F6B"/>
    <w:rsid w:val="005D1BA5"/>
    <w:rsid w:val="005D2B4D"/>
    <w:rsid w:val="005D3BAD"/>
    <w:rsid w:val="005F5678"/>
    <w:rsid w:val="00620414"/>
    <w:rsid w:val="00634B90"/>
    <w:rsid w:val="00647F92"/>
    <w:rsid w:val="00680FE0"/>
    <w:rsid w:val="0068467E"/>
    <w:rsid w:val="006B050D"/>
    <w:rsid w:val="006B1CDC"/>
    <w:rsid w:val="006E3752"/>
    <w:rsid w:val="006E5707"/>
    <w:rsid w:val="006F4740"/>
    <w:rsid w:val="00726A80"/>
    <w:rsid w:val="00743951"/>
    <w:rsid w:val="00791D89"/>
    <w:rsid w:val="00792F5A"/>
    <w:rsid w:val="007A7346"/>
    <w:rsid w:val="007B229C"/>
    <w:rsid w:val="007E1179"/>
    <w:rsid w:val="007E42D3"/>
    <w:rsid w:val="007F3CA5"/>
    <w:rsid w:val="00861E19"/>
    <w:rsid w:val="00872778"/>
    <w:rsid w:val="0087318C"/>
    <w:rsid w:val="00883DC1"/>
    <w:rsid w:val="0089402C"/>
    <w:rsid w:val="008964AE"/>
    <w:rsid w:val="008B2556"/>
    <w:rsid w:val="008B2786"/>
    <w:rsid w:val="008C0704"/>
    <w:rsid w:val="009330EA"/>
    <w:rsid w:val="00974532"/>
    <w:rsid w:val="0098259E"/>
    <w:rsid w:val="00996A47"/>
    <w:rsid w:val="009A08BF"/>
    <w:rsid w:val="009A0C3A"/>
    <w:rsid w:val="009A3C29"/>
    <w:rsid w:val="009E4782"/>
    <w:rsid w:val="009E718A"/>
    <w:rsid w:val="00A16712"/>
    <w:rsid w:val="00A27EEB"/>
    <w:rsid w:val="00A43C05"/>
    <w:rsid w:val="00A52A09"/>
    <w:rsid w:val="00A61972"/>
    <w:rsid w:val="00A90C1D"/>
    <w:rsid w:val="00AE2E6C"/>
    <w:rsid w:val="00AF1AA0"/>
    <w:rsid w:val="00B00173"/>
    <w:rsid w:val="00B27100"/>
    <w:rsid w:val="00B33307"/>
    <w:rsid w:val="00B41633"/>
    <w:rsid w:val="00B41F9A"/>
    <w:rsid w:val="00B51332"/>
    <w:rsid w:val="00B71102"/>
    <w:rsid w:val="00B77D26"/>
    <w:rsid w:val="00BA4B37"/>
    <w:rsid w:val="00C13E0D"/>
    <w:rsid w:val="00C25E86"/>
    <w:rsid w:val="00C26A09"/>
    <w:rsid w:val="00C508F9"/>
    <w:rsid w:val="00C97137"/>
    <w:rsid w:val="00C97349"/>
    <w:rsid w:val="00CD5814"/>
    <w:rsid w:val="00CE2DD9"/>
    <w:rsid w:val="00CF4AEE"/>
    <w:rsid w:val="00D053AA"/>
    <w:rsid w:val="00D11003"/>
    <w:rsid w:val="00D33313"/>
    <w:rsid w:val="00D35A04"/>
    <w:rsid w:val="00D37B9E"/>
    <w:rsid w:val="00D50EF1"/>
    <w:rsid w:val="00D73DE6"/>
    <w:rsid w:val="00DA3246"/>
    <w:rsid w:val="00DC5C94"/>
    <w:rsid w:val="00E6427E"/>
    <w:rsid w:val="00E64C0B"/>
    <w:rsid w:val="00E72E7B"/>
    <w:rsid w:val="00E8160C"/>
    <w:rsid w:val="00EC6B85"/>
    <w:rsid w:val="00EF15A9"/>
    <w:rsid w:val="00EF218C"/>
    <w:rsid w:val="00F251F3"/>
    <w:rsid w:val="00F35A5B"/>
    <w:rsid w:val="00F40515"/>
    <w:rsid w:val="00F51255"/>
    <w:rsid w:val="00F71A90"/>
    <w:rsid w:val="00F8756D"/>
    <w:rsid w:val="00F91164"/>
    <w:rsid w:val="00F94123"/>
    <w:rsid w:val="00FB05D8"/>
    <w:rsid w:val="00FC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A0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B71102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4">
    <w:name w:val="Body Text Indent"/>
    <w:basedOn w:val="a"/>
    <w:link w:val="a5"/>
    <w:uiPriority w:val="99"/>
    <w:rsid w:val="00B71102"/>
    <w:pPr>
      <w:spacing w:after="0" w:line="240" w:lineRule="auto"/>
      <w:ind w:firstLine="1701"/>
      <w:jc w:val="both"/>
    </w:pPr>
    <w:rPr>
      <w:rFonts w:cs="Times New Roman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71102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B7110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71102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B71102"/>
  </w:style>
  <w:style w:type="paragraph" w:styleId="a9">
    <w:name w:val="Body Text"/>
    <w:basedOn w:val="a"/>
    <w:link w:val="aa"/>
    <w:uiPriority w:val="99"/>
    <w:rsid w:val="00B71102"/>
    <w:pPr>
      <w:widowControl w:val="0"/>
      <w:suppressAutoHyphens/>
      <w:spacing w:after="120" w:line="240" w:lineRule="auto"/>
    </w:pPr>
    <w:rPr>
      <w:rFonts w:ascii="Arial" w:hAnsi="Arial" w:cs="Arial"/>
      <w:kern w:val="1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B71102"/>
    <w:rPr>
      <w:rFonts w:ascii="Arial" w:eastAsia="Times New Roman" w:hAnsi="Arial" w:cs="Arial"/>
      <w:kern w:val="1"/>
      <w:sz w:val="24"/>
      <w:szCs w:val="24"/>
    </w:rPr>
  </w:style>
  <w:style w:type="paragraph" w:styleId="2">
    <w:name w:val="Body Text 2"/>
    <w:basedOn w:val="a"/>
    <w:link w:val="20"/>
    <w:uiPriority w:val="99"/>
    <w:rsid w:val="00B71102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B71102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99"/>
    <w:qFormat/>
    <w:rsid w:val="00B71102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B71102"/>
    <w:pPr>
      <w:spacing w:before="120" w:after="0" w:line="360" w:lineRule="auto"/>
      <w:ind w:left="720" w:firstLine="680"/>
      <w:jc w:val="both"/>
    </w:pPr>
    <w:rPr>
      <w:rFonts w:ascii="TimesDL" w:hAnsi="TimesDL" w:cs="TimesDL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7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71102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B71102"/>
    <w:rPr>
      <w:rFonts w:ascii="Calibri" w:hAnsi="Calibri" w:cs="Calibri"/>
      <w:b/>
      <w:bCs/>
      <w:i/>
      <w:iCs/>
    </w:rPr>
  </w:style>
  <w:style w:type="paragraph" w:styleId="af">
    <w:name w:val="Normal (Web)"/>
    <w:basedOn w:val="a"/>
    <w:uiPriority w:val="99"/>
    <w:rsid w:val="00B7110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rsid w:val="00B71102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B71102"/>
    <w:rPr>
      <w:rFonts w:ascii="Times New Roman" w:hAnsi="Times New Roman" w:cs="Times New Roman"/>
      <w:sz w:val="16"/>
      <w:szCs w:val="16"/>
    </w:rPr>
  </w:style>
  <w:style w:type="paragraph" w:customStyle="1" w:styleId="11">
    <w:name w:val="Без интервала1"/>
    <w:uiPriority w:val="99"/>
    <w:rsid w:val="00B71102"/>
    <w:rPr>
      <w:rFonts w:cs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rsid w:val="00B7110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71102"/>
    <w:rPr>
      <w:rFonts w:ascii="Arial" w:eastAsia="Times New Roman" w:hAnsi="Arial" w:cs="Arial"/>
      <w:kern w:val="1"/>
      <w:sz w:val="24"/>
      <w:szCs w:val="24"/>
    </w:rPr>
  </w:style>
  <w:style w:type="character" w:customStyle="1" w:styleId="Bodytext">
    <w:name w:val="Body text_"/>
    <w:link w:val="Bodytext0"/>
    <w:uiPriority w:val="99"/>
    <w:locked/>
    <w:rsid w:val="00B71102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B71102"/>
    <w:pPr>
      <w:shd w:val="clear" w:color="auto" w:fill="FFFFFF"/>
      <w:spacing w:before="660" w:after="0" w:line="312" w:lineRule="exact"/>
      <w:ind w:firstLine="540"/>
      <w:jc w:val="both"/>
    </w:pPr>
    <w:rPr>
      <w:rFonts w:cs="Times New Roman"/>
      <w:sz w:val="27"/>
      <w:szCs w:val="27"/>
      <w:shd w:val="clear" w:color="auto" w:fill="FFFFFF"/>
      <w:lang/>
    </w:rPr>
  </w:style>
  <w:style w:type="paragraph" w:styleId="21">
    <w:name w:val="Body Text Indent 2"/>
    <w:basedOn w:val="a"/>
    <w:link w:val="22"/>
    <w:uiPriority w:val="99"/>
    <w:rsid w:val="00B71102"/>
    <w:pPr>
      <w:spacing w:before="120" w:after="120" w:line="480" w:lineRule="auto"/>
      <w:ind w:left="283" w:firstLine="680"/>
      <w:jc w:val="both"/>
    </w:pPr>
    <w:rPr>
      <w:rFonts w:ascii="TimesDL" w:hAnsi="TimesDL" w:cs="TimesD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71102"/>
    <w:rPr>
      <w:rFonts w:ascii="TimesDL" w:eastAsia="Times New Roman" w:hAnsi="TimesDL" w:cs="TimesDL"/>
      <w:sz w:val="24"/>
      <w:szCs w:val="24"/>
    </w:rPr>
  </w:style>
  <w:style w:type="paragraph" w:customStyle="1" w:styleId="210">
    <w:name w:val="Основной текст 21"/>
    <w:basedOn w:val="a"/>
    <w:uiPriority w:val="99"/>
    <w:rsid w:val="00872778"/>
    <w:pPr>
      <w:widowControl w:val="0"/>
      <w:suppressAutoHyphens/>
      <w:spacing w:after="0" w:line="240" w:lineRule="auto"/>
      <w:jc w:val="both"/>
    </w:pPr>
    <w:rPr>
      <w:rFonts w:ascii="Arial" w:hAnsi="Arial" w:cs="Arial"/>
      <w:kern w:val="1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253694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53694"/>
    <w:rPr>
      <w:rFonts w:ascii="Arial" w:hAnsi="Arial" w:cs="Arial"/>
      <w:sz w:val="20"/>
      <w:szCs w:val="20"/>
    </w:rPr>
  </w:style>
  <w:style w:type="paragraph" w:customStyle="1" w:styleId="23">
    <w:name w:val="Без интервала2"/>
    <w:link w:val="af4"/>
    <w:uiPriority w:val="99"/>
    <w:rsid w:val="00093A6C"/>
    <w:pPr>
      <w:widowControl w:val="0"/>
      <w:suppressAutoHyphens/>
    </w:pPr>
    <w:rPr>
      <w:rFonts w:ascii="Arial" w:hAnsi="Arial"/>
      <w:kern w:val="1"/>
      <w:sz w:val="22"/>
      <w:szCs w:val="22"/>
    </w:rPr>
  </w:style>
  <w:style w:type="character" w:customStyle="1" w:styleId="af4">
    <w:name w:val="Без интервала Знак"/>
    <w:link w:val="23"/>
    <w:uiPriority w:val="99"/>
    <w:locked/>
    <w:rsid w:val="00093A6C"/>
    <w:rPr>
      <w:rFonts w:ascii="Arial" w:hAnsi="Arial"/>
      <w:kern w:val="1"/>
      <w:sz w:val="22"/>
      <w:szCs w:val="22"/>
      <w:lang w:bidi="ar-SA"/>
    </w:rPr>
  </w:style>
  <w:style w:type="numbering" w:customStyle="1" w:styleId="1">
    <w:name w:val="Стиль1"/>
    <w:rsid w:val="00527670"/>
    <w:pPr>
      <w:numPr>
        <w:numId w:val="1"/>
      </w:numPr>
    </w:pPr>
  </w:style>
  <w:style w:type="numbering" w:customStyle="1" w:styleId="3">
    <w:name w:val="Стиль3"/>
    <w:rsid w:val="0052767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19</Pages>
  <Words>5824</Words>
  <Characters>33201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</dc:creator>
  <cp:keywords/>
  <dc:description/>
  <cp:lastModifiedBy>2</cp:lastModifiedBy>
  <cp:revision>38</cp:revision>
  <cp:lastPrinted>2017-04-20T08:17:00Z</cp:lastPrinted>
  <dcterms:created xsi:type="dcterms:W3CDTF">2017-03-03T05:44:00Z</dcterms:created>
  <dcterms:modified xsi:type="dcterms:W3CDTF">2017-04-24T02:40:00Z</dcterms:modified>
</cp:coreProperties>
</file>