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5" w:rsidRDefault="003549B5" w:rsidP="00374685">
      <w:pPr>
        <w:autoSpaceDE w:val="0"/>
        <w:autoSpaceDN w:val="0"/>
        <w:adjustRightInd w:val="0"/>
        <w:spacing w:after="0" w:line="240" w:lineRule="auto"/>
        <w:ind w:left="-567"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CE6D67" w:rsidP="00374685">
      <w:pPr>
        <w:autoSpaceDE w:val="0"/>
        <w:autoSpaceDN w:val="0"/>
        <w:adjustRightInd w:val="0"/>
        <w:spacing w:after="0" w:line="240" w:lineRule="auto"/>
        <w:ind w:left="-567"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8043AF5" wp14:editId="35569AFA">
            <wp:simplePos x="0" y="0"/>
            <wp:positionH relativeFrom="column">
              <wp:posOffset>2501900</wp:posOffset>
            </wp:positionH>
            <wp:positionV relativeFrom="paragraph">
              <wp:posOffset>-60325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3549B5">
      <w:pPr>
        <w:autoSpaceDE w:val="0"/>
        <w:autoSpaceDN w:val="0"/>
        <w:adjustRightInd w:val="0"/>
        <w:spacing w:after="0" w:line="240" w:lineRule="auto"/>
        <w:ind w:left="-567" w:right="13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3549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3549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3549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CE6D67" w:rsidRPr="00192940" w:rsidRDefault="00CE6D67" w:rsidP="00374685">
      <w:pPr>
        <w:tabs>
          <w:tab w:val="left" w:pos="540"/>
          <w:tab w:val="left" w:pos="72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40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E6D67" w:rsidRPr="00192940" w:rsidRDefault="00CE6D67" w:rsidP="00374685">
      <w:pPr>
        <w:pStyle w:val="2"/>
        <w:ind w:left="-567"/>
        <w:rPr>
          <w:szCs w:val="28"/>
        </w:rPr>
      </w:pPr>
      <w:r w:rsidRPr="00192940">
        <w:rPr>
          <w:szCs w:val="28"/>
        </w:rPr>
        <w:t>(</w:t>
      </w:r>
      <w:r>
        <w:rPr>
          <w:szCs w:val="28"/>
        </w:rPr>
        <w:t>шестьдесят первая</w:t>
      </w:r>
      <w:r w:rsidRPr="00192940">
        <w:rPr>
          <w:szCs w:val="28"/>
        </w:rPr>
        <w:t xml:space="preserve"> сессия)</w:t>
      </w:r>
    </w:p>
    <w:p w:rsidR="00CE6D67" w:rsidRDefault="00CE6D67" w:rsidP="00374685">
      <w:pPr>
        <w:pStyle w:val="2"/>
        <w:ind w:left="-567"/>
        <w:jc w:val="left"/>
        <w:rPr>
          <w:szCs w:val="28"/>
        </w:rPr>
      </w:pPr>
    </w:p>
    <w:p w:rsidR="003549B5" w:rsidRPr="00192940" w:rsidRDefault="003549B5" w:rsidP="00374685">
      <w:pPr>
        <w:pStyle w:val="2"/>
        <w:ind w:left="-567"/>
        <w:jc w:val="left"/>
        <w:rPr>
          <w:szCs w:val="28"/>
        </w:rPr>
      </w:pPr>
    </w:p>
    <w:p w:rsidR="00CE6D67" w:rsidRPr="00192940" w:rsidRDefault="00CE6D67" w:rsidP="00374685">
      <w:pPr>
        <w:pStyle w:val="2"/>
        <w:ind w:left="-567"/>
        <w:rPr>
          <w:szCs w:val="28"/>
        </w:rPr>
      </w:pPr>
      <w:r w:rsidRPr="00192940">
        <w:rPr>
          <w:szCs w:val="28"/>
        </w:rPr>
        <w:t xml:space="preserve">Решение № </w:t>
      </w:r>
      <w:r>
        <w:rPr>
          <w:szCs w:val="28"/>
        </w:rPr>
        <w:t xml:space="preserve"> 424</w:t>
      </w:r>
    </w:p>
    <w:p w:rsidR="00CE6D67" w:rsidRPr="00192940" w:rsidRDefault="00CE6D67" w:rsidP="003746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E6D67" w:rsidRPr="004C03B4" w:rsidRDefault="004C03B4" w:rsidP="00374685">
      <w:pPr>
        <w:tabs>
          <w:tab w:val="left" w:pos="7060"/>
          <w:tab w:val="right" w:pos="9355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03B4">
        <w:rPr>
          <w:rFonts w:ascii="Times New Roman" w:hAnsi="Times New Roman" w:cs="Times New Roman"/>
          <w:b/>
          <w:sz w:val="28"/>
          <w:szCs w:val="28"/>
          <w:u w:val="single"/>
        </w:rPr>
        <w:t>от  23. 06. 2022</w:t>
      </w:r>
    </w:p>
    <w:p w:rsidR="00CE6D67" w:rsidRPr="00192940" w:rsidRDefault="00CE6D67" w:rsidP="0037468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192940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192940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CE6D67" w:rsidRPr="00192940" w:rsidRDefault="00CE6D67" w:rsidP="0037468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CE6D67" w:rsidRPr="00192940" w:rsidRDefault="00CE6D67" w:rsidP="0037468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23. 06</w:t>
      </w:r>
      <w:r w:rsidRPr="00192940">
        <w:rPr>
          <w:rFonts w:ascii="Times New Roman" w:hAnsi="Times New Roman" w:cs="Times New Roman"/>
          <w:b/>
          <w:sz w:val="24"/>
          <w:szCs w:val="24"/>
        </w:rPr>
        <w:t>. 2022</w:t>
      </w:r>
    </w:p>
    <w:p w:rsidR="00A73226" w:rsidRPr="00A73226" w:rsidRDefault="00A73226" w:rsidP="00374685">
      <w:pPr>
        <w:tabs>
          <w:tab w:val="left" w:pos="31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6" w:rsidRPr="00A73226" w:rsidRDefault="00A73226" w:rsidP="00374685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3549B5">
      <w:pPr>
        <w:ind w:left="-567"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7C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дорожной хозяйстве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</w:t>
      </w:r>
      <w:r w:rsidR="00D0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proofErr w:type="gramEnd"/>
    </w:p>
    <w:p w:rsidR="00A73226" w:rsidRPr="00A73226" w:rsidRDefault="00A73226" w:rsidP="003746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3549B5" w:rsidP="003746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</w:t>
      </w:r>
      <w:r w:rsidR="00CE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bookmarkEnd w:id="1"/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E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 w:rsidR="00A73226"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3746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3746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3746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3746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374685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3746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7F2C90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EF0D10">
        <w:rPr>
          <w:rFonts w:ascii="Times New Roman" w:hAnsi="Times New Roman"/>
          <w:sz w:val="28"/>
          <w:szCs w:val="28"/>
        </w:rPr>
        <w:t xml:space="preserve"> на территории</w:t>
      </w:r>
      <w:r w:rsidR="0047719E">
        <w:rPr>
          <w:rFonts w:ascii="Times New Roman" w:hAnsi="Times New Roman"/>
          <w:sz w:val="28"/>
          <w:szCs w:val="28"/>
        </w:rPr>
        <w:t xml:space="preserve"> </w:t>
      </w:r>
      <w:r w:rsidR="00EF0D10">
        <w:rPr>
          <w:rFonts w:ascii="Times New Roman" w:hAnsi="Times New Roman"/>
          <w:sz w:val="28"/>
          <w:szCs w:val="28"/>
        </w:rPr>
        <w:t>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="0047719E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народных депутатов от 21.04.2022 №</w:t>
      </w:r>
      <w:r w:rsidR="0047719E">
        <w:rPr>
          <w:rFonts w:ascii="Times New Roman" w:hAnsi="Times New Roman"/>
          <w:sz w:val="28"/>
          <w:szCs w:val="28"/>
        </w:rPr>
        <w:t xml:space="preserve"> </w:t>
      </w:r>
      <w:r w:rsidR="007F2C90">
        <w:rPr>
          <w:rFonts w:ascii="Times New Roman" w:hAnsi="Times New Roman"/>
          <w:sz w:val="28"/>
          <w:szCs w:val="28"/>
        </w:rPr>
        <w:t>400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="00D06E1F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2D0990" w:rsidP="00374685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2C90">
        <w:rPr>
          <w:rFonts w:ascii="Times New Roman" w:hAnsi="Times New Roman"/>
          <w:sz w:val="28"/>
          <w:szCs w:val="28"/>
        </w:rPr>
        <w:t>ункт 1.8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192DF6" w:rsidRDefault="00192DF6" w:rsidP="003746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3.5 раздела 3 изложить в следующей редакции: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«3.5. Управление ЖКХ для целей управления рисками причинения вреда (ущерба)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(ущерба) (далее - категории риска):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1) чрезвычайно высокий риск;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2) высокий риск;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3) значительный риск;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4) средний риск;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>5) умеренный риск;</w:t>
      </w:r>
    </w:p>
    <w:p w:rsidR="00192DF6" w:rsidRPr="00192DF6" w:rsidRDefault="00192DF6" w:rsidP="00374685">
      <w:pPr>
        <w:pStyle w:val="a3"/>
        <w:tabs>
          <w:tab w:val="left" w:pos="142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92DF6">
        <w:rPr>
          <w:rFonts w:ascii="Times New Roman" w:hAnsi="Times New Roman"/>
          <w:sz w:val="28"/>
          <w:szCs w:val="28"/>
        </w:rPr>
        <w:t xml:space="preserve">6) низкий риск. </w:t>
      </w:r>
    </w:p>
    <w:p w:rsidR="00192DF6" w:rsidRPr="00192DF6" w:rsidRDefault="00192DF6" w:rsidP="00374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риска должны основываться на достоверных сведениях, характеризующих уровень риска причинения вреда (ущерба), а также практику соблюдения обязательных требований в рамках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192DF6" w:rsidRDefault="00192DF6" w:rsidP="00374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(на</w:t>
      </w:r>
      <w:r w:rsidR="004A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дзорного) мероприятия Управление</w:t>
      </w:r>
      <w:r w:rsidRPr="0019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 </w:t>
      </w:r>
      <w:r w:rsidR="004A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</w:t>
      </w:r>
      <w:r w:rsidRPr="0019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92DF6" w:rsidRDefault="00192DF6" w:rsidP="00374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риска для объектов</w:t>
      </w:r>
      <w:r w:rsidRPr="00192DF6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</w:t>
      </w:r>
      <w:r>
        <w:rPr>
          <w:rFonts w:ascii="Times New Roman" w:hAnsi="Times New Roman"/>
          <w:sz w:val="28"/>
          <w:szCs w:val="28"/>
        </w:rPr>
        <w:t xml:space="preserve"> установлены приложением 3 к настоящему Положению.».</w:t>
      </w:r>
    </w:p>
    <w:p w:rsidR="00AD0F85" w:rsidRPr="00192DF6" w:rsidRDefault="00192DF6" w:rsidP="003746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приложением 3 согласно приложению к настоящему решению.</w:t>
      </w:r>
    </w:p>
    <w:p w:rsidR="00CD770D" w:rsidRPr="00132D59" w:rsidRDefault="00A73226" w:rsidP="00374685">
      <w:pPr>
        <w:pStyle w:val="ConsPlusNormal"/>
        <w:numPr>
          <w:ilvl w:val="0"/>
          <w:numId w:val="1"/>
        </w:numPr>
        <w:spacing w:line="0" w:lineRule="atLeast"/>
        <w:ind w:left="-567" w:firstLine="0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374685">
      <w:pPr>
        <w:pStyle w:val="ConsPlusNormal"/>
        <w:numPr>
          <w:ilvl w:val="0"/>
          <w:numId w:val="1"/>
        </w:numPr>
        <w:spacing w:line="0" w:lineRule="atLeast"/>
        <w:ind w:left="-567" w:firstLine="0"/>
        <w:jc w:val="both"/>
        <w:rPr>
          <w:color w:val="000000"/>
          <w:sz w:val="28"/>
          <w:szCs w:val="28"/>
        </w:rPr>
      </w:pPr>
      <w:proofErr w:type="gramStart"/>
      <w:r w:rsidRPr="00856840">
        <w:rPr>
          <w:sz w:val="28"/>
          <w:szCs w:val="28"/>
        </w:rPr>
        <w:t>Контроль за</w:t>
      </w:r>
      <w:proofErr w:type="gramEnd"/>
      <w:r w:rsidRPr="00856840">
        <w:rPr>
          <w:sz w:val="28"/>
          <w:szCs w:val="28"/>
        </w:rPr>
        <w:t xml:space="preserve">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 xml:space="preserve">по вопросам: местного самоуправления и правоохранительной деятельности </w:t>
      </w:r>
      <w:r w:rsidR="003549B5">
        <w:rPr>
          <w:sz w:val="28"/>
          <w:szCs w:val="28"/>
        </w:rPr>
        <w:br/>
      </w:r>
      <w:r w:rsidRPr="00856840">
        <w:rPr>
          <w:sz w:val="28"/>
          <w:szCs w:val="28"/>
        </w:rPr>
        <w:t>(И.С.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A73226" w:rsidRDefault="00A73226" w:rsidP="003746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B5" w:rsidRPr="00A73226" w:rsidRDefault="003549B5" w:rsidP="003746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374685">
      <w:pPr>
        <w:tabs>
          <w:tab w:val="left" w:pos="3020"/>
          <w:tab w:val="left" w:pos="6390"/>
          <w:tab w:val="left" w:pos="680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CE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Pr="00A73226" w:rsidRDefault="00A73226" w:rsidP="00374685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374685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A73226" w:rsidRPr="00A73226" w:rsidRDefault="00A73226" w:rsidP="00374685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E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226" w:rsidRPr="00A73226" w:rsidRDefault="00A73226" w:rsidP="00374685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4C03B4" w:rsidRDefault="004C03B4" w:rsidP="004C03B4">
      <w:pPr>
        <w:tabs>
          <w:tab w:val="left" w:pos="3020"/>
        </w:tabs>
        <w:spacing w:after="0" w:line="240" w:lineRule="auto"/>
        <w:ind w:left="-567"/>
        <w:jc w:val="right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« 23 »  </w:t>
      </w:r>
      <w:r w:rsidR="00A73226"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июня   </w:t>
      </w:r>
      <w:r w:rsidR="00A73226"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2022 г.</w:t>
      </w:r>
    </w:p>
    <w:p w:rsidR="00A73226" w:rsidRPr="00CF0DD2" w:rsidRDefault="00A73226" w:rsidP="0037468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DF6" w:rsidRPr="003549B5" w:rsidRDefault="00192DF6" w:rsidP="003549B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 Прокопьевского</w:t>
      </w:r>
    </w:p>
    <w:p w:rsidR="00192DF6" w:rsidRP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2DF6" w:rsidRPr="0035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DF6" w:rsidRPr="003549B5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192DF6" w:rsidRDefault="004C03B4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</w:t>
      </w:r>
      <w:bookmarkStart w:id="2" w:name="_GoBack"/>
      <w:bookmarkEnd w:id="2"/>
      <w:r w:rsidR="003549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424</w:t>
      </w:r>
    </w:p>
    <w:p w:rsidR="003549B5" w:rsidRDefault="003549B5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9B5" w:rsidRDefault="00192DF6" w:rsidP="003549B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  <w:r w:rsidR="00354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proofErr w:type="gramEnd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2B6C" w:rsidRPr="003549B5" w:rsidRDefault="00192DF6" w:rsidP="003549B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proofErr w:type="gramEnd"/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автомобильном транспорте, городском </w:t>
      </w:r>
    </w:p>
    <w:p w:rsidR="00692B6C" w:rsidRDefault="00192DF6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</w:t>
      </w:r>
      <w:r w:rsidR="0069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емном электрическом транспорте и в </w:t>
      </w:r>
    </w:p>
    <w:p w:rsidR="00692B6C" w:rsidRDefault="00692B6C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дорожном хозяйстве</w:t>
      </w:r>
      <w:r w:rsidR="0019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</w:p>
    <w:p w:rsidR="00692B6C" w:rsidRDefault="00192DF6" w:rsidP="00374685">
      <w:pPr>
        <w:widowControl w:val="0"/>
        <w:spacing w:after="0" w:line="0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477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«Прокопьевский</w:t>
      </w:r>
    </w:p>
    <w:p w:rsidR="00192DF6" w:rsidRPr="00132D59" w:rsidRDefault="00692B6C" w:rsidP="00374685">
      <w:pPr>
        <w:widowControl w:val="0"/>
        <w:spacing w:after="0" w:line="0" w:lineRule="atLeast"/>
        <w:ind w:left="-567" w:right="-5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городской округ </w:t>
      </w:r>
      <w:r w:rsidR="00192DF6" w:rsidRPr="00132D59">
        <w:rPr>
          <w:rFonts w:ascii="Times New Roman" w:eastAsia="Times New Roman" w:hAnsi="Times New Roman" w:cs="Times New Roman"/>
          <w:sz w:val="26"/>
          <w:szCs w:val="26"/>
        </w:rPr>
        <w:t>Кемеровской области - Кузбасса»</w:t>
      </w:r>
    </w:p>
    <w:p w:rsidR="00192DF6" w:rsidRDefault="00192DF6" w:rsidP="0037468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B5" w:rsidRDefault="003549B5" w:rsidP="0037468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F6" w:rsidRDefault="00192DF6" w:rsidP="00374685">
      <w:pPr>
        <w:widowControl w:val="0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03464D" w:rsidRDefault="00192DF6" w:rsidP="00374685">
      <w:pPr>
        <w:widowControl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для объектов муниципального контроля </w:t>
      </w:r>
    </w:p>
    <w:p w:rsidR="00192DF6" w:rsidRPr="003F1687" w:rsidRDefault="0003464D" w:rsidP="00374685">
      <w:pPr>
        <w:widowControl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автомобильном транспорте</w:t>
      </w:r>
    </w:p>
    <w:p w:rsidR="00192DF6" w:rsidRDefault="00192DF6" w:rsidP="0037468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F6" w:rsidRPr="003F1687" w:rsidRDefault="00192DF6" w:rsidP="00374685">
      <w:pPr>
        <w:widowControl w:val="0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муниципального контроля</w:t>
      </w:r>
      <w:r w:rsidR="0003464D"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192DF6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DF6" w:rsidRPr="003F1687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, где:</w:t>
      </w:r>
    </w:p>
    <w:p w:rsidR="00192DF6" w:rsidRPr="003F1687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DF6" w:rsidRPr="003F1687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192DF6" w:rsidRPr="003F1687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47719E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составленных Контрольным органом. </w:t>
      </w:r>
    </w:p>
    <w:p w:rsidR="0047719E" w:rsidRDefault="0047719E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DF6" w:rsidRPr="003F1687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192DF6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расчетном значении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критерия риска (КР) от 0 до 2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контроля присваивается низкая категория риска. </w:t>
      </w:r>
    </w:p>
    <w:p w:rsidR="00192DF6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3 до 4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присваивается умеренная категория риска. </w:t>
      </w:r>
    </w:p>
    <w:p w:rsidR="00192DF6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5 до 6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ъекту присваивается средняя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категория риска. </w:t>
      </w:r>
    </w:p>
    <w:p w:rsidR="00192DF6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7 до 8 включительно объекту присваивается значительная категория риска.</w:t>
      </w:r>
    </w:p>
    <w:p w:rsidR="00192DF6" w:rsidRPr="00BE5FA3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9 до 10 включительно объекту присваивается высокая категория риска.</w:t>
      </w:r>
    </w:p>
    <w:p w:rsidR="00192DF6" w:rsidRPr="00250187" w:rsidRDefault="00192DF6" w:rsidP="00374685">
      <w:pPr>
        <w:pStyle w:val="a3"/>
        <w:widowControl w:val="0"/>
        <w:tabs>
          <w:tab w:val="left" w:pos="851"/>
        </w:tabs>
        <w:spacing w:after="0" w:line="0" w:lineRule="atLeast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значении критерия риска (</w:t>
      </w:r>
      <w:proofErr w:type="gramStart"/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proofErr w:type="gramEnd"/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более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должен быть отнесен к категории чрезвычайно высокого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2DF6" w:rsidRDefault="00192DF6" w:rsidP="00354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9B5" w:rsidRDefault="003549B5" w:rsidP="003746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DF6" w:rsidRPr="00E923BC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192DF6" w:rsidRPr="00E923BC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5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35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6" w:rsidRPr="00E923BC" w:rsidRDefault="00192DF6" w:rsidP="00374685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DF6" w:rsidRPr="00E923BC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26"/>
    <w:rsid w:val="0003464D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92DF6"/>
    <w:rsid w:val="001D2AED"/>
    <w:rsid w:val="002275D6"/>
    <w:rsid w:val="0024024E"/>
    <w:rsid w:val="00250187"/>
    <w:rsid w:val="002D0990"/>
    <w:rsid w:val="002E71CC"/>
    <w:rsid w:val="00300AE7"/>
    <w:rsid w:val="00302777"/>
    <w:rsid w:val="003321AE"/>
    <w:rsid w:val="003549B5"/>
    <w:rsid w:val="00374685"/>
    <w:rsid w:val="003C7DEE"/>
    <w:rsid w:val="003E4AD7"/>
    <w:rsid w:val="00452525"/>
    <w:rsid w:val="00462BCC"/>
    <w:rsid w:val="0047719E"/>
    <w:rsid w:val="004A0DAC"/>
    <w:rsid w:val="004C03B4"/>
    <w:rsid w:val="004F6011"/>
    <w:rsid w:val="0051063E"/>
    <w:rsid w:val="00535919"/>
    <w:rsid w:val="00561E04"/>
    <w:rsid w:val="005B3ED9"/>
    <w:rsid w:val="005E71C0"/>
    <w:rsid w:val="00626B99"/>
    <w:rsid w:val="00682AE0"/>
    <w:rsid w:val="00686B35"/>
    <w:rsid w:val="00692B6C"/>
    <w:rsid w:val="006E75DA"/>
    <w:rsid w:val="00732879"/>
    <w:rsid w:val="007C1B5A"/>
    <w:rsid w:val="007E2256"/>
    <w:rsid w:val="007E55A2"/>
    <w:rsid w:val="007F2C90"/>
    <w:rsid w:val="00832E6F"/>
    <w:rsid w:val="00856840"/>
    <w:rsid w:val="008602D0"/>
    <w:rsid w:val="008A1B6D"/>
    <w:rsid w:val="008A24D0"/>
    <w:rsid w:val="0094035C"/>
    <w:rsid w:val="00990C2F"/>
    <w:rsid w:val="009F0F25"/>
    <w:rsid w:val="009F4061"/>
    <w:rsid w:val="00A20BF1"/>
    <w:rsid w:val="00A41D35"/>
    <w:rsid w:val="00A54B84"/>
    <w:rsid w:val="00A73226"/>
    <w:rsid w:val="00AD0F85"/>
    <w:rsid w:val="00B539FD"/>
    <w:rsid w:val="00BB1831"/>
    <w:rsid w:val="00BF1788"/>
    <w:rsid w:val="00C05528"/>
    <w:rsid w:val="00C12862"/>
    <w:rsid w:val="00C44EA9"/>
    <w:rsid w:val="00CD770D"/>
    <w:rsid w:val="00CE6D67"/>
    <w:rsid w:val="00CF0870"/>
    <w:rsid w:val="00CF0DD2"/>
    <w:rsid w:val="00D03103"/>
    <w:rsid w:val="00D06E1F"/>
    <w:rsid w:val="00D24C2A"/>
    <w:rsid w:val="00D52EEA"/>
    <w:rsid w:val="00D818DA"/>
    <w:rsid w:val="00DE0269"/>
    <w:rsid w:val="00DE4092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  <w:style w:type="paragraph" w:customStyle="1" w:styleId="2">
    <w:name w:val="Основной текст с отступом2"/>
    <w:basedOn w:val="a"/>
    <w:rsid w:val="00CE6D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5A2C-D4B6-4170-9B78-9AD51BD4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user</cp:lastModifiedBy>
  <cp:revision>78</cp:revision>
  <cp:lastPrinted>2022-06-22T07:43:00Z</cp:lastPrinted>
  <dcterms:created xsi:type="dcterms:W3CDTF">2022-04-01T06:24:00Z</dcterms:created>
  <dcterms:modified xsi:type="dcterms:W3CDTF">2022-06-27T07:40:00Z</dcterms:modified>
</cp:coreProperties>
</file>